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auto"/>
          <w:sz w:val="26"/>
          <w:szCs w:val="26"/>
          <w:lang w:eastAsia="ru-RU" w:bidi="ru-RU"/>
        </w:rPr>
        <mc:AlternateContent>
          <mc:Choice Requires="wps">
            <w:drawing>
              <wp:anchor behindDoc="0" distT="0" distB="0" distL="0" distR="0" simplePos="0" locked="0" layoutInCell="0" allowOverlap="1" relativeHeight="2" wp14:anchorId="016DB29B">
                <wp:simplePos x="0" y="0"/>
                <wp:positionH relativeFrom="margin">
                  <wp:align>right</wp:align>
                </wp:positionH>
                <wp:positionV relativeFrom="paragraph">
                  <wp:posOffset>41910</wp:posOffset>
                </wp:positionV>
                <wp:extent cx="3645535" cy="2600325"/>
                <wp:effectExtent l="0" t="0" r="0" b="0"/>
                <wp:wrapNone/>
                <wp:docPr id="1" name="Надпись 30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5360" cy="2600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ind w:hanging="0" w:start="0" w:end="0"/>
                              <w:jc w:val="end"/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  <w:t>УТВЕРЖДАЮ</w:t>
                            </w:r>
                          </w:p>
                          <w:p>
                            <w:pPr>
                              <w:pStyle w:val="Normal"/>
                              <w:widowControl/>
                              <w:ind w:hanging="0" w:start="0" w:end="0"/>
                              <w:jc w:val="end"/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  <w:t xml:space="preserve">Эксперт направления технических </w:t>
                            </w:r>
                          </w:p>
                          <w:p>
                            <w:pPr>
                              <w:pStyle w:val="Normal"/>
                              <w:widowControl/>
                              <w:ind w:hanging="0" w:start="0" w:end="0"/>
                              <w:jc w:val="end"/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  <w:t xml:space="preserve">условий и экспертизы проектов на магистральных, </w:t>
                            </w:r>
                          </w:p>
                          <w:p>
                            <w:pPr>
                              <w:pStyle w:val="Normal"/>
                              <w:widowControl/>
                              <w:ind w:hanging="0" w:start="0" w:end="0"/>
                              <w:jc w:val="end"/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  <w:t>зоновых и местных сетях Волга, Урал</w:t>
                            </w:r>
                          </w:p>
                          <w:p>
                            <w:pPr>
                              <w:pStyle w:val="Normal"/>
                              <w:widowControl/>
                              <w:ind w:hanging="0" w:start="0" w:end="0"/>
                              <w:jc w:val="end"/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  <w:t xml:space="preserve">Управления технических условий и экспертизы </w:t>
                            </w:r>
                          </w:p>
                          <w:p>
                            <w:pPr>
                              <w:pStyle w:val="Normal"/>
                              <w:widowControl/>
                              <w:ind w:hanging="0" w:start="0" w:end="0"/>
                              <w:jc w:val="end"/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  <w:t>проектов на магистральных, зоновых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  <w:sz w:val="22"/>
                              </w:rPr>
                              <w:t> 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  <w:sz w:val="22"/>
                              </w:rPr>
                              <w:t> 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  <w:t>местных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  <w:sz w:val="22"/>
                              </w:rPr>
                              <w:t> 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  <w:t>сетях</w:t>
                            </w:r>
                          </w:p>
                          <w:p>
                            <w:pPr>
                              <w:pStyle w:val="Normal"/>
                              <w:widowControl/>
                              <w:ind w:hanging="0" w:start="0" w:end="0"/>
                              <w:jc w:val="end"/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  <w:t>Центра технического учета</w:t>
                            </w:r>
                          </w:p>
                          <w:p>
                            <w:pPr>
                              <w:pStyle w:val="Normal"/>
                              <w:widowControl/>
                              <w:ind w:hanging="0" w:start="0" w:end="0"/>
                              <w:jc w:val="end"/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  <w:t>Корпоративного центра</w:t>
                            </w:r>
                          </w:p>
                          <w:p>
                            <w:pPr>
                              <w:pStyle w:val="Normal"/>
                              <w:widowControl/>
                              <w:ind w:hanging="0" w:start="0" w:end="0"/>
                              <w:jc w:val="end"/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  <w:t>ПАО «Ростелеком»</w:t>
                            </w:r>
                          </w:p>
                          <w:p>
                            <w:pPr>
                              <w:pStyle w:val="Normal"/>
                              <w:widowControl/>
                              <w:ind w:hanging="0" w:start="0" w:end="0"/>
                              <w:jc w:val="end"/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</w:r>
                          </w:p>
                          <w:p>
                            <w:pPr>
                              <w:pStyle w:val="Normal"/>
                              <w:widowControl/>
                              <w:ind w:hanging="0" w:start="0" w:end="0"/>
                              <w:jc w:val="end"/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</w:r>
                          </w:p>
                          <w:p>
                            <w:pPr>
                              <w:pStyle w:val="Normal"/>
                              <w:widowControl/>
                              <w:ind w:hanging="0" w:start="0" w:end="0"/>
                              <w:jc w:val="end"/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bCs/>
                                <w:color w:val="000000"/>
                                <w:spacing w:val="0"/>
                                <w:lang w:bidi="ru-RU"/>
                              </w:rPr>
                              <w:t>Е.В. Захарова</w:t>
                            </w:r>
                          </w:p>
                          <w:p>
                            <w:pPr>
                              <w:pStyle w:val="user3"/>
                              <w:jc w:val="end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themeColor="text1" w:val="000000"/>
                                <w:sz w:val="26"/>
                                <w:szCs w:val="26"/>
                                <w:lang w:bidi="ru-RU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bCs/>
                                <w:color w:themeColor="text1" w:val="000000"/>
                                <w:sz w:val="26"/>
                                <w:szCs w:val="26"/>
                                <w:lang w:bidi="ru-RU"/>
                              </w:rPr>
                            </w:r>
                          </w:p>
                          <w:p>
                            <w:pPr>
                              <w:pStyle w:val="user3"/>
                              <w:jc w:val="end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themeColor="text1" w:val="000000"/>
                                <w:sz w:val="26"/>
                                <w:szCs w:val="26"/>
                                <w:lang w:bidi="ru-RU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bCs/>
                                <w:color w:themeColor="text1" w:val="000000"/>
                                <w:sz w:val="26"/>
                                <w:szCs w:val="26"/>
                                <w:lang w:bidi="ru-RU"/>
                              </w:rPr>
                            </w:r>
                          </w:p>
                          <w:p>
                            <w:pPr>
                              <w:pStyle w:val="user3"/>
                              <w:jc w:val="end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themeColor="text1" w:val="000000"/>
                                <w:sz w:val="26"/>
                                <w:szCs w:val="26"/>
                                <w:lang w:bidi="ru-RU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bCs/>
                                <w:color w:themeColor="text1" w:val="000000"/>
                                <w:sz w:val="26"/>
                                <w:szCs w:val="26"/>
                                <w:lang w:bidi="ru-RU"/>
                              </w:rPr>
                            </w:r>
                          </w:p>
                          <w:p>
                            <w:pPr>
                              <w:pStyle w:val="user3"/>
                              <w:jc w:val="end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themeColor="text1" w:val="000000"/>
                                <w:lang w:bidi="ru-RU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bCs/>
                                <w:color w:themeColor="text1" w:val="000000"/>
                                <w:lang w:bidi="ru-RU"/>
                              </w:rPr>
                            </w:r>
                          </w:p>
                          <w:p>
                            <w:pPr>
                              <w:pStyle w:val="user3"/>
                              <w:jc w:val="end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bidi="ru-RU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307" path="m0,0l-2147483645,0l-2147483645,-2147483646l0,-2147483646xe" stroked="f" o:allowincell="f" style="position:absolute;margin-left:194.8pt;margin-top:3.3pt;width:287pt;height:204.7pt;mso-wrap-style:square;v-text-anchor:top;mso-position-horizontal:right;mso-position-horizontal-relative:margin" wp14:anchorId="016DB29B">
                <v:fill o:detectmouseclick="t" on="false"/>
                <v:stroke color="#3465a4" weight="9360" joinstyle="round" endcap="flat"/>
                <v:textbox>
                  <w:txbxContent>
                    <w:p>
                      <w:pPr>
                        <w:pStyle w:val="Normal"/>
                        <w:widowControl/>
                        <w:ind w:hanging="0" w:start="0" w:end="0"/>
                        <w:jc w:val="end"/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  <w:t>УТВЕРЖДАЮ</w:t>
                      </w:r>
                    </w:p>
                    <w:p>
                      <w:pPr>
                        <w:pStyle w:val="Normal"/>
                        <w:widowControl/>
                        <w:ind w:hanging="0" w:start="0" w:end="0"/>
                        <w:jc w:val="end"/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  <w:t xml:space="preserve">Эксперт направления технических </w:t>
                      </w:r>
                    </w:p>
                    <w:p>
                      <w:pPr>
                        <w:pStyle w:val="Normal"/>
                        <w:widowControl/>
                        <w:ind w:hanging="0" w:start="0" w:end="0"/>
                        <w:jc w:val="end"/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  <w:t xml:space="preserve">условий и экспертизы проектов на магистральных, </w:t>
                      </w:r>
                    </w:p>
                    <w:p>
                      <w:pPr>
                        <w:pStyle w:val="Normal"/>
                        <w:widowControl/>
                        <w:ind w:hanging="0" w:start="0" w:end="0"/>
                        <w:jc w:val="end"/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  <w:t>зоновых и местных сетях Волга, Урал</w:t>
                      </w:r>
                    </w:p>
                    <w:p>
                      <w:pPr>
                        <w:pStyle w:val="Normal"/>
                        <w:widowControl/>
                        <w:ind w:hanging="0" w:start="0" w:end="0"/>
                        <w:jc w:val="end"/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  <w:t xml:space="preserve">Управления технических условий и экспертизы </w:t>
                      </w:r>
                    </w:p>
                    <w:p>
                      <w:pPr>
                        <w:pStyle w:val="Normal"/>
                        <w:widowControl/>
                        <w:ind w:hanging="0" w:start="0" w:end="0"/>
                        <w:jc w:val="end"/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  <w:t>проектов на магистральных, зоновых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  <w:sz w:val="22"/>
                        </w:rPr>
                        <w:t> 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  <w:t>и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  <w:sz w:val="22"/>
                        </w:rPr>
                        <w:t> 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  <w:t>местных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  <w:sz w:val="22"/>
                        </w:rPr>
                        <w:t> 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  <w:t>сетях</w:t>
                      </w:r>
                    </w:p>
                    <w:p>
                      <w:pPr>
                        <w:pStyle w:val="Normal"/>
                        <w:widowControl/>
                        <w:ind w:hanging="0" w:start="0" w:end="0"/>
                        <w:jc w:val="end"/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  <w:t>Центра технического учета</w:t>
                      </w:r>
                    </w:p>
                    <w:p>
                      <w:pPr>
                        <w:pStyle w:val="Normal"/>
                        <w:widowControl/>
                        <w:ind w:hanging="0" w:start="0" w:end="0"/>
                        <w:jc w:val="end"/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  <w:t>Корпоративного центра</w:t>
                      </w:r>
                    </w:p>
                    <w:p>
                      <w:pPr>
                        <w:pStyle w:val="Normal"/>
                        <w:widowControl/>
                        <w:ind w:hanging="0" w:start="0" w:end="0"/>
                        <w:jc w:val="end"/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  <w:t>ПАО «Ростелеком»</w:t>
                      </w:r>
                    </w:p>
                    <w:p>
                      <w:pPr>
                        <w:pStyle w:val="Normal"/>
                        <w:widowControl/>
                        <w:ind w:hanging="0" w:start="0" w:end="0"/>
                        <w:jc w:val="end"/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</w:r>
                    </w:p>
                    <w:p>
                      <w:pPr>
                        <w:pStyle w:val="Normal"/>
                        <w:widowControl/>
                        <w:ind w:hanging="0" w:start="0" w:end="0"/>
                        <w:jc w:val="end"/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</w:r>
                    </w:p>
                    <w:p>
                      <w:pPr>
                        <w:pStyle w:val="Normal"/>
                        <w:widowControl/>
                        <w:ind w:hanging="0" w:start="0" w:end="0"/>
                        <w:jc w:val="end"/>
                        <w:rPr>
                          <w:rFonts w:ascii="Times New Roman" w:hAnsi="Times New Roman"/>
                          <w:b/>
                          <w:color w:val="000000"/>
                          <w:spacing w:val="0"/>
                        </w:rPr>
                      </w:pPr>
                      <w:r>
                        <w:rPr>
                          <w:rFonts w:cs="Times New Roman" w:ascii="Times New Roman" w:hAnsi="Times New Roman"/>
                          <w:b/>
                          <w:bCs/>
                          <w:color w:val="000000"/>
                          <w:spacing w:val="0"/>
                          <w:lang w:bidi="ru-RU"/>
                        </w:rPr>
                        <w:t>Е.В. Захарова</w:t>
                      </w:r>
                    </w:p>
                    <w:p>
                      <w:pPr>
                        <w:pStyle w:val="user3"/>
                        <w:jc w:val="end"/>
                        <w:rPr>
                          <w:rFonts w:ascii="Times New Roman" w:hAnsi="Times New Roman" w:cs="Times New Roman"/>
                          <w:b/>
                          <w:bCs/>
                          <w:color w:themeColor="text1" w:val="000000"/>
                          <w:sz w:val="26"/>
                          <w:szCs w:val="26"/>
                          <w:lang w:bidi="ru-RU"/>
                        </w:rPr>
                      </w:pPr>
                      <w:r>
                        <w:rPr>
                          <w:rFonts w:cs="Times New Roman" w:ascii="Times New Roman" w:hAnsi="Times New Roman"/>
                          <w:b/>
                          <w:bCs/>
                          <w:color w:themeColor="text1" w:val="000000"/>
                          <w:sz w:val="26"/>
                          <w:szCs w:val="26"/>
                          <w:lang w:bidi="ru-RU"/>
                        </w:rPr>
                      </w:r>
                    </w:p>
                    <w:p>
                      <w:pPr>
                        <w:pStyle w:val="user3"/>
                        <w:jc w:val="end"/>
                        <w:rPr>
                          <w:rFonts w:ascii="Times New Roman" w:hAnsi="Times New Roman" w:cs="Times New Roman"/>
                          <w:b/>
                          <w:bCs/>
                          <w:color w:themeColor="text1" w:val="000000"/>
                          <w:sz w:val="26"/>
                          <w:szCs w:val="26"/>
                          <w:lang w:bidi="ru-RU"/>
                        </w:rPr>
                      </w:pPr>
                      <w:r>
                        <w:rPr>
                          <w:rFonts w:cs="Times New Roman" w:ascii="Times New Roman" w:hAnsi="Times New Roman"/>
                          <w:b/>
                          <w:bCs/>
                          <w:color w:themeColor="text1" w:val="000000"/>
                          <w:sz w:val="26"/>
                          <w:szCs w:val="26"/>
                          <w:lang w:bidi="ru-RU"/>
                        </w:rPr>
                      </w:r>
                    </w:p>
                    <w:p>
                      <w:pPr>
                        <w:pStyle w:val="user3"/>
                        <w:jc w:val="end"/>
                        <w:rPr>
                          <w:rFonts w:ascii="Times New Roman" w:hAnsi="Times New Roman" w:cs="Times New Roman"/>
                          <w:b/>
                          <w:bCs/>
                          <w:color w:themeColor="text1" w:val="000000"/>
                          <w:sz w:val="26"/>
                          <w:szCs w:val="26"/>
                          <w:lang w:bidi="ru-RU"/>
                        </w:rPr>
                      </w:pPr>
                      <w:r>
                        <w:rPr>
                          <w:rFonts w:cs="Times New Roman" w:ascii="Times New Roman" w:hAnsi="Times New Roman"/>
                          <w:b/>
                          <w:bCs/>
                          <w:color w:themeColor="text1" w:val="000000"/>
                          <w:sz w:val="26"/>
                          <w:szCs w:val="26"/>
                          <w:lang w:bidi="ru-RU"/>
                        </w:rPr>
                      </w:r>
                    </w:p>
                    <w:p>
                      <w:pPr>
                        <w:pStyle w:val="user3"/>
                        <w:jc w:val="end"/>
                        <w:rPr>
                          <w:rFonts w:ascii="Times New Roman" w:hAnsi="Times New Roman" w:cs="Times New Roman"/>
                          <w:b/>
                          <w:bCs/>
                          <w:color w:themeColor="text1" w:val="000000"/>
                          <w:lang w:bidi="ru-RU"/>
                        </w:rPr>
                      </w:pPr>
                      <w:r>
                        <w:rPr>
                          <w:rFonts w:cs="Times New Roman" w:ascii="Times New Roman" w:hAnsi="Times New Roman"/>
                          <w:b/>
                          <w:bCs/>
                          <w:color w:themeColor="text1" w:val="000000"/>
                          <w:lang w:bidi="ru-RU"/>
                        </w:rPr>
                      </w:r>
                    </w:p>
                    <w:p>
                      <w:pPr>
                        <w:pStyle w:val="user3"/>
                        <w:jc w:val="end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  <w:lang w:bidi="ru-RU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 w:bidi="ru-RU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 w:bidi="ru-RU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 w:bidi="ru-RU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 w:bidi="ru-RU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 w:bidi="ru-RU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 w:bidi="ru-RU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 w:bidi="ru-RU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 w:bidi="ru-RU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 w:bidi="ru-RU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 w:bidi="ru-RU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 w:bidi="ru-RU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 w:bidi="ru-RU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 w:bidi="ru-RU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 w:bidi="ru-RU"/>
        </w:rPr>
        <w:t>ТЕХНИЧЕСКИЕ УСЛОВИЯ № 01/17/</w:t>
      </w: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 w:bidi="ru-RU"/>
        </w:rPr>
        <w:t>3537</w:t>
      </w: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 w:bidi="ru-RU"/>
        </w:rPr>
        <w:t>/26</w:t>
      </w:r>
    </w:p>
    <w:p>
      <w:pPr>
        <w:pStyle w:val="Normal"/>
        <w:widowControl w:val="false"/>
        <w:jc w:val="center"/>
        <w:rPr>
          <w:rFonts w:ascii="Times New Roman" w:hAnsi="Times New Roman" w:eastAsia="Courier New" w:cs="Times New Roman"/>
          <w:color w:val="auto"/>
          <w:sz w:val="26"/>
          <w:szCs w:val="26"/>
          <w:lang w:eastAsia="ru-RU" w:bidi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 w:bidi="ru-RU"/>
        </w:rPr>
        <w:t xml:space="preserve">на подключение </w:t>
      </w:r>
      <w:r>
        <w:rPr>
          <w:rFonts w:eastAsia="Courier New" w:cs="Times New Roman" w:ascii="Times New Roman" w:hAnsi="Times New Roman"/>
          <w:color w:val="auto"/>
          <w:sz w:val="26"/>
          <w:szCs w:val="26"/>
          <w:lang w:eastAsia="ru-RU" w:bidi="ru-RU"/>
        </w:rPr>
        <w:t xml:space="preserve">(технологическое присоединение) к сетям электросвязи </w:t>
      </w:r>
    </w:p>
    <w:p>
      <w:pPr>
        <w:pStyle w:val="Normal"/>
        <w:widowControl w:val="false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eastAsia="Courier New" w:cs="Times New Roman" w:ascii="Times New Roman" w:hAnsi="Times New Roman"/>
          <w:color w:val="auto"/>
          <w:sz w:val="26"/>
          <w:szCs w:val="26"/>
          <w:lang w:eastAsia="ru-RU" w:bidi="ru-RU"/>
        </w:rPr>
        <w:t xml:space="preserve">ПАО «Ростелеком» объекта капитального строительства: </w:t>
      </w:r>
    </w:p>
    <w:p>
      <w:pPr>
        <w:pStyle w:val="Normal"/>
        <w:widowControl w:val="false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eastAsia="Courier New" w:cs="Times New Roman" w:ascii="Times New Roman" w:hAnsi="Times New Roman"/>
          <w:color w:val="auto"/>
          <w:sz w:val="26"/>
          <w:szCs w:val="26"/>
          <w:lang w:eastAsia="ru-RU" w:bidi="ru-RU"/>
        </w:rPr>
        <w:t>«Региональный центр развития баскетбола РФБ в г. Ижевске»</w:t>
      </w:r>
    </w:p>
    <w:p>
      <w:pPr>
        <w:pStyle w:val="BodyTextIndent2"/>
        <w:spacing w:lineRule="auto" w:line="240" w:before="0" w:after="0"/>
        <w:ind w:firstLine="709" w:start="0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</w:r>
    </w:p>
    <w:tbl>
      <w:tblPr>
        <w:tblW w:w="9351" w:type="dxa"/>
        <w:jc w:val="center"/>
        <w:tblInd w:w="0" w:type="dxa"/>
        <w:tblLayout w:type="fixed"/>
        <w:tblCellMar>
          <w:top w:w="0" w:type="dxa"/>
          <w:start w:w="10" w:type="dxa"/>
          <w:bottom w:w="0" w:type="dxa"/>
          <w:end w:w="10" w:type="dxa"/>
        </w:tblCellMar>
        <w:tblLook w:val="0000" w:noHBand="0" w:noVBand="0" w:firstColumn="0" w:lastRow="0" w:lastColumn="0" w:firstRow="0"/>
      </w:tblPr>
      <w:tblGrid>
        <w:gridCol w:w="3437"/>
        <w:gridCol w:w="5913"/>
      </w:tblGrid>
      <w:tr>
        <w:trPr/>
        <w:tc>
          <w:tcPr>
            <w:tcW w:w="3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false"/>
              <w:spacing w:before="0" w:after="0"/>
              <w:ind w:hanging="0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eastAsia="ru-RU" w:bidi="ru-RU"/>
              </w:rPr>
              <w:t>Наименование Заявителя</w:t>
            </w:r>
          </w:p>
        </w:tc>
        <w:tc>
          <w:tcPr>
            <w:tcW w:w="59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start="13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 xml:space="preserve">Автономное учреждение Удмуртской Республики «Ледовый дворец «Ижсталь» </w:t>
            </w:r>
          </w:p>
        </w:tc>
      </w:tr>
      <w:tr>
        <w:trPr/>
        <w:tc>
          <w:tcPr>
            <w:tcW w:w="3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left" w:pos="357" w:leader="none"/>
              </w:tabs>
              <w:suppressAutoHyphens w:val="false"/>
              <w:spacing w:before="0" w:after="0"/>
              <w:ind w:hanging="0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eastAsia="ru-RU" w:bidi="ru-RU"/>
              </w:rPr>
              <w:t>Основание выдачи ТУ</w:t>
            </w:r>
          </w:p>
        </w:tc>
        <w:tc>
          <w:tcPr>
            <w:tcW w:w="59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start="13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>Заявление на выдачу технических условий</w:t>
            </w:r>
          </w:p>
          <w:p>
            <w:pPr>
              <w:pStyle w:val="Normal"/>
              <w:widowControl w:val="false"/>
              <w:ind w:start="13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>0093/01/08 от 16.02.2026</w:t>
            </w:r>
          </w:p>
          <w:p>
            <w:pPr>
              <w:pStyle w:val="Normal"/>
              <w:widowControl w:val="false"/>
              <w:ind w:start="13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>вх. № 0604/03/946/26 от 16.02.2026</w:t>
            </w:r>
          </w:p>
        </w:tc>
      </w:tr>
      <w:tr>
        <w:trPr/>
        <w:tc>
          <w:tcPr>
            <w:tcW w:w="3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left" w:pos="357" w:leader="none"/>
              </w:tabs>
              <w:suppressAutoHyphens w:val="false"/>
              <w:spacing w:before="0" w:after="0"/>
              <w:ind w:hanging="0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Описание объекта капитального строительства (далее – Объект)</w:t>
            </w:r>
          </w:p>
        </w:tc>
        <w:tc>
          <w:tcPr>
            <w:tcW w:w="59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Удмуртская Республика, г. Ижевск, ул. Береговая, 3, кадастровый номер 18:26:010067:921;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 w:cs="Times New Roman"/>
                <w:color w:val="000000"/>
                <w:sz w:val="22"/>
                <w:szCs w:val="22"/>
                <w:lang w:eastAsia="ru-RU" w:bidi="ru-RU"/>
              </w:rPr>
              <w:t>Региональный центр развития баскетбола РФБ в г. Ижевске</w:t>
            </w:r>
            <w:r>
              <w:rPr>
                <w:rFonts w:eastAsia="Courier New"/>
                <w:color w:val="000000"/>
                <w:sz w:val="22"/>
                <w:szCs w:val="22"/>
                <w:lang w:eastAsia="ru-RU" w:bidi="ru-RU"/>
              </w:rPr>
              <w:t>.</w:t>
            </w:r>
          </w:p>
        </w:tc>
      </w:tr>
      <w:tr>
        <w:trPr/>
        <w:tc>
          <w:tcPr>
            <w:tcW w:w="3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left" w:pos="357" w:leader="none"/>
              </w:tabs>
              <w:suppressAutoHyphens w:val="false"/>
              <w:spacing w:before="0" w:after="0"/>
              <w:ind w:hanging="0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lang w:eastAsia="ru-RU" w:bidi="ru-RU"/>
              </w:rPr>
              <w:t>Технические параметры подключения Объекта к сетям связи</w:t>
            </w:r>
          </w:p>
        </w:tc>
        <w:tc>
          <w:tcPr>
            <w:tcW w:w="59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Параметры услуг связи, необходимых для подключения Объекта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ind w:firstLine="357" w:start="13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u w:val="single"/>
                <w:lang w:eastAsia="ru-RU" w:bidi="ru-RU"/>
              </w:rPr>
              <w:t>Услуга</w:t>
            </w:r>
            <w:r>
              <w:rPr>
                <w:rFonts w:eastAsia="Courier New"/>
                <w:sz w:val="22"/>
                <w:szCs w:val="22"/>
                <w:lang w:eastAsia="ru-RU" w:bidi="ru-RU"/>
              </w:rPr>
              <w:t>: телефония</w:t>
            </w:r>
          </w:p>
          <w:p>
            <w:pPr>
              <w:pStyle w:val="Normal"/>
              <w:widowControl w:val="false"/>
              <w:ind w:start="72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u w:val="single"/>
                <w:lang w:eastAsia="ru-RU" w:bidi="ru-RU"/>
              </w:rPr>
              <w:t>Технология</w:t>
            </w: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 xml:space="preserve">: </w:t>
            </w: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val="en-US" w:eastAsia="ru-RU" w:bidi="ru-RU"/>
              </w:rPr>
              <w:t>FTTB</w:t>
            </w:r>
          </w:p>
          <w:p>
            <w:pPr>
              <w:pStyle w:val="Normal"/>
              <w:widowControl w:val="false"/>
              <w:ind w:start="72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u w:val="single"/>
                <w:lang w:eastAsia="ru-RU" w:bidi="ru-RU"/>
              </w:rPr>
              <w:t>Объем подключения (расчетное количество единиц подключения услуги на Объекте)</w:t>
            </w: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>: определить проектом</w:t>
            </w:r>
          </w:p>
          <w:p>
            <w:pPr>
              <w:pStyle w:val="Normal"/>
              <w:widowControl w:val="false"/>
              <w:tabs>
                <w:tab w:val="clear" w:pos="357"/>
                <w:tab w:val="left" w:pos="803" w:leader="none"/>
              </w:tabs>
              <w:ind w:start="72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u w:val="single"/>
                <w:lang w:eastAsia="ru-RU" w:bidi="ru-RU"/>
              </w:rPr>
              <w:t>Иные параметры</w:t>
            </w: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 xml:space="preserve">: наложенные услуги IP-телефонии путем установки абонентского роутера/маршрутизатора с портами </w:t>
            </w: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val="en-US" w:eastAsia="ru-RU" w:bidi="ru-RU"/>
              </w:rPr>
              <w:t>FXS</w:t>
            </w: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>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ind w:firstLine="357" w:start="13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u w:val="single"/>
                <w:lang w:eastAsia="ru-RU" w:bidi="ru-RU"/>
              </w:rPr>
              <w:t>Услуга</w:t>
            </w:r>
            <w:r>
              <w:rPr>
                <w:rFonts w:eastAsia="Courier New"/>
                <w:sz w:val="22"/>
                <w:szCs w:val="22"/>
                <w:lang w:eastAsia="ru-RU" w:bidi="ru-RU"/>
              </w:rPr>
              <w:t>: интернет</w:t>
            </w:r>
          </w:p>
          <w:p>
            <w:pPr>
              <w:pStyle w:val="Normal"/>
              <w:widowControl w:val="false"/>
              <w:ind w:start="72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u w:val="single"/>
                <w:lang w:eastAsia="ru-RU" w:bidi="ru-RU"/>
              </w:rPr>
              <w:t>Технология</w:t>
            </w: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 xml:space="preserve">: </w:t>
            </w: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val="en-US" w:eastAsia="ru-RU" w:bidi="ru-RU"/>
              </w:rPr>
              <w:t>FTTB</w:t>
            </w:r>
          </w:p>
          <w:p>
            <w:pPr>
              <w:pStyle w:val="Normal"/>
              <w:widowControl w:val="false"/>
              <w:ind w:start="72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u w:val="single"/>
                <w:lang w:eastAsia="ru-RU" w:bidi="ru-RU"/>
              </w:rPr>
              <w:t>Объем подключения (расчетное количество единиц подключения услуги на Объекте)</w:t>
            </w: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>: определить проектом</w:t>
            </w:r>
          </w:p>
          <w:p>
            <w:pPr>
              <w:pStyle w:val="Normal"/>
              <w:widowControl w:val="false"/>
              <w:ind w:start="72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u w:val="single"/>
                <w:lang w:eastAsia="ru-RU" w:bidi="ru-RU"/>
              </w:rPr>
              <w:t>Иные параметры</w:t>
            </w: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>: интерфейс доступа в сеть Интернет – порты FE/GE (100/1000 Мбит/с) коммутатора доступа.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ind w:firstLine="357" w:start="13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u w:val="single"/>
                <w:lang w:eastAsia="ru-RU" w:bidi="ru-RU"/>
              </w:rPr>
              <w:t>Услуга</w:t>
            </w:r>
            <w:r>
              <w:rPr>
                <w:rFonts w:eastAsia="Courier New"/>
                <w:sz w:val="22"/>
                <w:szCs w:val="22"/>
                <w:lang w:eastAsia="ru-RU" w:bidi="ru-RU"/>
              </w:rPr>
              <w:t xml:space="preserve">: </w:t>
            </w:r>
            <w:r>
              <w:rPr>
                <w:rFonts w:eastAsia="Courier New"/>
                <w:sz w:val="22"/>
                <w:szCs w:val="22"/>
                <w:lang w:val="en-US" w:eastAsia="ru-RU" w:bidi="ru-RU"/>
              </w:rPr>
              <w:t>IP</w:t>
            </w:r>
            <w:r>
              <w:rPr>
                <w:rFonts w:eastAsia="Courier New"/>
                <w:sz w:val="22"/>
                <w:szCs w:val="22"/>
                <w:lang w:eastAsia="ru-RU" w:bidi="ru-RU"/>
              </w:rPr>
              <w:t>-телевидение</w:t>
            </w:r>
          </w:p>
          <w:p>
            <w:pPr>
              <w:pStyle w:val="Normal"/>
              <w:widowControl w:val="false"/>
              <w:ind w:start="72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u w:val="single"/>
                <w:lang w:eastAsia="ru-RU" w:bidi="ru-RU"/>
              </w:rPr>
              <w:t>Технология</w:t>
            </w: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 xml:space="preserve">: </w:t>
            </w: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val="en-US" w:eastAsia="ru-RU" w:bidi="ru-RU"/>
              </w:rPr>
              <w:t>FTTB</w:t>
            </w:r>
          </w:p>
          <w:p>
            <w:pPr>
              <w:pStyle w:val="Normal"/>
              <w:widowControl w:val="false"/>
              <w:ind w:start="72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u w:val="single"/>
                <w:lang w:eastAsia="ru-RU" w:bidi="ru-RU"/>
              </w:rPr>
              <w:t>Объем подключения (расчетное количество единиц подключения услуги на Объекте)</w:t>
            </w: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>: определить проектом</w:t>
            </w:r>
          </w:p>
          <w:p>
            <w:pPr>
              <w:pStyle w:val="Normal"/>
              <w:widowControl w:val="false"/>
              <w:ind w:start="72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u w:val="single"/>
                <w:lang w:eastAsia="ru-RU" w:bidi="ru-RU"/>
              </w:rPr>
              <w:t>Иные параметры</w:t>
            </w: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>: телевизионный сигнал на вход телевизионного приемника абонента подается от устанавливаемого ПАО «Ростелеком» устройства декодирования цифрового телевизионного сигнала (Set Top Box), включаемого в коммутатор доступа/роутер по технологии Ethernet.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ind w:firstLine="357" w:start="13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u w:val="single"/>
                <w:lang w:eastAsia="ru-RU" w:bidi="ru-RU"/>
              </w:rPr>
              <w:t>Услуга</w:t>
            </w:r>
            <w:r>
              <w:rPr>
                <w:rFonts w:eastAsia="Courier New"/>
                <w:sz w:val="22"/>
                <w:szCs w:val="22"/>
                <w:lang w:eastAsia="ru-RU" w:bidi="ru-RU"/>
              </w:rPr>
              <w:t>: радиовещание</w:t>
            </w:r>
          </w:p>
          <w:p>
            <w:pPr>
              <w:pStyle w:val="Normal"/>
              <w:widowControl w:val="false"/>
              <w:ind w:start="72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u w:val="single"/>
                <w:lang w:eastAsia="ru-RU" w:bidi="ru-RU"/>
              </w:rPr>
              <w:t>Технология</w:t>
            </w: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 xml:space="preserve">: </w:t>
            </w: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val="en-US" w:eastAsia="ru-RU" w:bidi="ru-RU"/>
              </w:rPr>
              <w:t>FTTB</w:t>
            </w:r>
          </w:p>
          <w:p>
            <w:pPr>
              <w:pStyle w:val="Normal"/>
              <w:widowControl w:val="false"/>
              <w:ind w:start="72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u w:val="single"/>
                <w:lang w:eastAsia="ru-RU" w:bidi="ru-RU"/>
              </w:rPr>
              <w:t>Объем подключения (расчетное количество единиц подключения услуги на Объекте)</w:t>
            </w: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>: определить проектом</w:t>
            </w:r>
          </w:p>
          <w:p>
            <w:pPr>
              <w:pStyle w:val="Normal"/>
              <w:widowControl w:val="false"/>
              <w:ind w:start="72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u w:val="single"/>
                <w:lang w:eastAsia="ru-RU" w:bidi="ru-RU"/>
              </w:rPr>
              <w:t>Иные параметры</w:t>
            </w: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 xml:space="preserve">: радиовещание обеспечивается ПАО «Ростелеком» в сети доступа по технологии FTTB, с преобразованием сигналов </w:t>
            </w: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val="en-US" w:eastAsia="ru-RU" w:bidi="ru-RU"/>
              </w:rPr>
              <w:t>IP</w:t>
            </w: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>/СПВ, организацией узла приема и распределения 3-х обязательных программ проводного вещания (УПРППВ), строительством домовой распределительной сети на основе симметричных экранированных соединительных кабелей и проектированием в помещениях радиоточек.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Местонахождение и параметры Точек подключения к сети связи ПАО «Ростелеком».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ind w:firstLine="357" w:start="13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 xml:space="preserve">Точка подключения </w:t>
            </w:r>
            <w:r>
              <w:rPr>
                <w:rFonts w:eastAsia="Symbol" w:cs="Symbol"/>
                <w:sz w:val="22"/>
                <w:szCs w:val="22"/>
                <w:lang w:bidi="ru-RU"/>
              </w:rPr>
              <w:t></w:t>
            </w:r>
            <w:r>
              <w:rPr>
                <w:rFonts w:eastAsia="Courier New"/>
                <w:sz w:val="22"/>
                <w:szCs w:val="22"/>
                <w:lang w:eastAsia="ru-RU" w:bidi="ru-RU"/>
              </w:rPr>
              <w:t xml:space="preserve"> проектируемый ТКШ в здании объекта: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ind w:hanging="357" w:start="714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технология подключения – FTTB;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ind w:hanging="357" w:start="714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максимальная мощность (емкость) подключения, кол-во абонентов – не определено;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ind w:hanging="357" w:start="714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параметры кабеля (тип, емкость) – ВОК;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ind w:hanging="357" w:start="714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максимальная скорость доступа – 100 Мбит/с.</w:t>
            </w:r>
          </w:p>
        </w:tc>
      </w:tr>
      <w:tr>
        <w:trPr/>
        <w:tc>
          <w:tcPr>
            <w:tcW w:w="3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left" w:pos="357" w:leader="none"/>
              </w:tabs>
              <w:suppressAutoHyphens w:val="false"/>
              <w:spacing w:before="0" w:after="0"/>
              <w:ind w:hanging="0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Мероприятия (в том числе технические) по подключению объекта к сетям связи ПАО  «Ростелеком»</w:t>
            </w:r>
          </w:p>
        </w:tc>
        <w:tc>
          <w:tcPr>
            <w:tcW w:w="59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Мероприятия по подключению, выполняемые Заявителем от проектируемого ТКШ (граница сетей инженерно-технического обеспечения проектируемого объекта) включают в себя: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ind w:hanging="357" w:start="714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разработка проектной документации в соответствии с данными техническими условиями;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ind w:hanging="357" w:start="714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обеспечение технологического присоединения энергопринимающих устройств (телекоммуникационного оборудования ПАО «Ростелеком») от границы участка (границы балансовой принадлежности) объекта капитального строительства (согласно постановления Правительства РФ № 861) энергопринимающих устройств по третьей категории надежности энергопринимающих устройств с максимальной мощностью согласно проектного решения и спецификации устанавливаемого оборудования на уровне напряжения 0,22 (0,4) кВ 50 Гц;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ind w:hanging="357" w:start="714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установку и допуск прибора учёта в эксплуатацию, оформленный в соответствии с «Правилами технологического присоединения энергопринимающих устройств потребителей электрической энергии…» (ПП РФ № 861 от 27.12.2004 г.) и «Основными положениями функционирования розничных рынков электрической энергии» (ПП РФ № 442 от 04.05.2012);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ind w:hanging="357" w:start="714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прибор учета должен соответствовать требованиям законодательства Российской Федерации об обеспечении единства измерений, а также Постановлению Правительства Российской Федерации от 4 мая 2012 г.  № 442 «О функционировании розничных рынков электрической энергии, полном и (или) частичном ограничении режима потребления электрической энергии», в том числе по их классу точности, быть допущенными в эксплуатацию в установленном порядке, иметь неповрежденные контрольные пломбы и (или) знаки визуального контроля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ind w:hanging="357" w:start="714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осуществление подключения в порядке и сроки, предусмотренные договором о подключении.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Мероприятия по подключению, выполняемые ПАО «Ростелеком» до проектируемого ТКШ (граница сетей инженерно-технического обеспечения проектируемого объекта) включают в себя: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ind w:hanging="357" w:start="714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разработка проектной документации в соответствии с данными техническими условиями;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ind w:hanging="357" w:start="714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проверка выполнения Заявителем технических условий;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ind w:hanging="357" w:start="714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осуществление подключения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Для подключения Объекта необходимо: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ind w:hanging="357" w:start="714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строительство инфраструктуры для размещения сетей связи;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ind w:hanging="357" w:start="714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строительство волоконно-оптической линии связи (ВОЛС);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ind w:hanging="357" w:start="714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строительство распределительной сети связи (ДРС)/ структурированной кабельной системы (СКС);</w:t>
            </w:r>
          </w:p>
        </w:tc>
      </w:tr>
      <w:tr>
        <w:trPr/>
        <w:tc>
          <w:tcPr>
            <w:tcW w:w="3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left" w:pos="357" w:leader="none"/>
              </w:tabs>
              <w:suppressAutoHyphens w:val="false"/>
              <w:spacing w:before="0" w:after="0"/>
              <w:ind w:hanging="0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Состав инфраструктуры Объекта, необходимой для размещения сетей электросвязи</w:t>
            </w:r>
          </w:p>
        </w:tc>
        <w:tc>
          <w:tcPr>
            <w:tcW w:w="59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При проектировании предусмотреть строительство инфраструктуры для размещения сетей электросвязи: кабельная канализация, кабельные вводы в здание, технологическое помещение связи, этажные коммуникационные отсеки, трассы прокладки магистральных участков кабельных систем, трассы прокладки абонентских участков кабельных систем.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u w:val="single"/>
                <w:lang w:eastAsia="ru-RU" w:bidi="ru-RU"/>
              </w:rPr>
              <w:t>Кабельная канализация</w:t>
            </w:r>
            <w:r>
              <w:rPr>
                <w:rFonts w:eastAsia="Courier New"/>
                <w:sz w:val="22"/>
                <w:szCs w:val="22"/>
                <w:lang w:eastAsia="ru-RU" w:bidi="ru-RU"/>
              </w:rPr>
              <w:t>.</w:t>
            </w:r>
          </w:p>
          <w:p>
            <w:pPr>
              <w:pStyle w:val="ListParagraph"/>
              <w:widowControl w:val="false"/>
              <w:numPr>
                <w:ilvl w:val="2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 xml:space="preserve">Предусмотреть строительство кабельной (телефонной) канализации связи (до границы земельного участка) ПНД трубами с внутренним диаметром не менее 100 мм (кольцевая жесткость </w:t>
            </w:r>
            <w:r>
              <w:rPr>
                <w:rFonts w:eastAsia="Courier New"/>
                <w:sz w:val="22"/>
                <w:szCs w:val="22"/>
                <w:lang w:val="en-US" w:eastAsia="ru-RU" w:bidi="ru-RU"/>
              </w:rPr>
              <w:t>SN</w:t>
            </w:r>
            <w:r>
              <w:rPr>
                <w:rFonts w:eastAsia="Courier New"/>
                <w:sz w:val="22"/>
                <w:szCs w:val="22"/>
                <w:lang w:eastAsia="ru-RU" w:bidi="ru-RU"/>
              </w:rPr>
              <w:t xml:space="preserve"> не менее 22 кН/м², сопротивление сжатию не менее 750 Н). Соединение труба-муфта-труба должно обеспечивать на разрыв не менее 350 кг.  Емкость кабельной канализации определить проектом.</w:t>
            </w:r>
          </w:p>
          <w:p>
            <w:pPr>
              <w:pStyle w:val="ListParagraph"/>
              <w:widowControl w:val="false"/>
              <w:numPr>
                <w:ilvl w:val="2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Предусмотреть строительство кабельной (телефонной) канализации связи внутриплощадочных сетей (в пределах границ участка застройки) ПНД трубами с внутренним диаметром не менее 100 мм (кольцевая жесткость SN не менее 22 кН/м², сопротивление сжатию не менее 750 Н). Соединение труба-муфта-труба должно обеспечивать на разрыв не менее 350 кг.  Емкость кабельной канализации определить проектом.</w:t>
            </w:r>
          </w:p>
          <w:p>
            <w:pPr>
              <w:pStyle w:val="ListParagraph"/>
              <w:widowControl w:val="false"/>
              <w:numPr>
                <w:ilvl w:val="2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bCs/>
                <w:sz w:val="22"/>
                <w:szCs w:val="22"/>
                <w:lang w:eastAsia="ru-RU" w:bidi="ru-RU"/>
              </w:rPr>
              <w:t>Для проектируемых смотровых устройств, располагаемых на проезжей части, рекомендуется применять люки тяжелого типа ГТС (ВЧШГ) 2.7-60 с 2-мя пружинами, РТИ-EPDM, со второй опорной зоной. Для проектируемых смотровых устройств, располагаемых на газонах и тротуарах, рекомендуется применять люки легкого типа ЛУ (А30) ГТС (ВЧШГ) 2.7-60 со второй опорной зоной. Для проектируемых смотровых устройств, располагаемых на газонах и лесопарковой зоне, рекомендуется применять люки ПКЛ тип С. Для всех типов проектируемых смотровых устройств применять нижние крышки усиленного типа с антивандальным запорным устройством.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u w:val="single"/>
                <w:lang w:eastAsia="ru-RU" w:bidi="ru-RU"/>
              </w:rPr>
              <w:t>Кабельный ввод.</w:t>
            </w:r>
          </w:p>
          <w:p>
            <w:pPr>
              <w:pStyle w:val="ListParagraph"/>
              <w:widowControl w:val="false"/>
              <w:numPr>
                <w:ilvl w:val="2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Устройство подземного кабельного ввода предусмотреть с использованием ПНД труб с внутренним диаметром не менее 100 мм. Длина трубопровода от вводного колодца до стены здания должна быть не более 30 м.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u w:val="single"/>
                <w:lang w:eastAsia="ru-RU" w:bidi="ru-RU"/>
              </w:rPr>
              <w:t>Размещение оборудования связи.</w:t>
            </w:r>
          </w:p>
          <w:p>
            <w:pPr>
              <w:pStyle w:val="ListParagraph"/>
              <w:widowControl w:val="false"/>
              <w:numPr>
                <w:ilvl w:val="2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Для размещения проектируемого оборудования на Объекте использовать шкафы повышенной защищенности от механических воздействий, оборудованных сейфовыми замками и вентиляционными отверстиями. Точное место установки шкафов с оборудованием определяется на этапе проектирования при согласовании с оператором связи. Предоставляемое для размещения шкафа место должно соответствовать следующим требованиям: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ind w:hanging="357" w:start="692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площадь не менее 1-2 кв.м.;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ind w:hanging="357" w:start="692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расположение на цокольных этажах или первом этаже, но на площадях, не подлежащих продаже вместе с коммерческими и другими помещениями;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ind w:hanging="357" w:start="692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со свободным доступом для представителей оператора связи;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ind w:hanging="357" w:start="692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наличие шины заземления, соединённой с общим контуром здания;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ind w:hanging="357" w:start="692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технологическое присоединение энергопринимающих устройств (телекоммуникационного оборудования ПАО «Ростелеком») от границы участка (границы балансовой принадлежности) объекта капитального строительства (согласно постановления Правительства РФ № 861) энергопринимающих устройств по третьей категории надежности энергопринимающих устройств с максимальной мощностью согласно проектного решения и спецификации устанавливаемого оборудования на уровне напряжения 0,22 (0,4) кВ 50 Гц;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ind w:hanging="357" w:start="692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установка и допуск прибора учёта в эксплуатацию, оформленный в соответствии с «Правилами технологического присоединения энергопринимающих устройств потребителей электрической энергии…» (ПП РФ № 861 от 27.12.2004 г.) и «Основными положениями функционирования розничных рынков электрической энергии» (ПП РФ № 442 от 04.05.2012);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ind w:hanging="357" w:start="692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прибор учета должен соответствовать требованиям законодательства Российской Федерации об обеспечении единства измерений, а также Постановлению Правительства Российской Федерации от 4 мая 2012 г.  № 442 «О функционировании розничных рынков электрической энергии, полном и (или) частичном ограничении режима потребления электрической энергии», в том числе по их классу точности, быть допущенными в эксплуатацию в установленном порядке, иметь неповрежденные контрольные пломбы и (или) знаки визуального контроля.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Этажные коммуникационные отсеки.</w:t>
            </w:r>
          </w:p>
          <w:p>
            <w:pPr>
              <w:pStyle w:val="ListParagraph"/>
              <w:widowControl w:val="false"/>
              <w:numPr>
                <w:ilvl w:val="2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При проектировании вертикальных участков трассы магистральных кабельных систем на каждом этаже объекта предусмотреть размещение этажного телекоммуникационного отсека в непосредственной близости от трассы магистральной кабельной системы.</w:t>
            </w:r>
          </w:p>
          <w:p>
            <w:pPr>
              <w:pStyle w:val="ListParagraph"/>
              <w:widowControl w:val="false"/>
              <w:numPr>
                <w:ilvl w:val="2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Этажный телекоммуникационный отсек может быть реализован в нише или телекоммуникационном шкафу из состава модульных этажных распределительных устройств (УЭРМ).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u w:val="single"/>
                <w:lang w:eastAsia="ru-RU" w:bidi="ru-RU"/>
              </w:rPr>
              <w:t>Трассы прокладки магистральных участков кабельных систем.</w:t>
            </w:r>
          </w:p>
          <w:p>
            <w:pPr>
              <w:pStyle w:val="ListParagraph"/>
              <w:widowControl w:val="false"/>
              <w:numPr>
                <w:ilvl w:val="2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Для размещения вертикальных участков трассы магистральных кабельных систем предусмотреть место в пределах лестнично-лифтовых узлов и коридорах, доступных для обслуживающего персонала или проведения аварийно-восстановительных работ в любое время суток.</w:t>
            </w:r>
          </w:p>
          <w:p>
            <w:pPr>
              <w:pStyle w:val="ListParagraph"/>
              <w:widowControl w:val="false"/>
              <w:numPr>
                <w:ilvl w:val="2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В межэтажных перекрытиях предусмотреть проходные отверстия с закладными трубами с внутренним диаметром 40мм без изгибов и поворотов и общим количеством, достаточным для прокладки сетей связи с учетом технологического запаса не менее чем 40% для каждой закладной трубы.</w:t>
            </w:r>
          </w:p>
          <w:p>
            <w:pPr>
              <w:pStyle w:val="ListParagraph"/>
              <w:widowControl w:val="false"/>
              <w:numPr>
                <w:ilvl w:val="2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Закладные трубы завести в этажные телекоммуникационные отсеки.</w:t>
            </w:r>
          </w:p>
          <w:p>
            <w:pPr>
              <w:pStyle w:val="ListParagraph"/>
              <w:widowControl w:val="false"/>
              <w:numPr>
                <w:ilvl w:val="2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Все металлические части участков магистральной кабельной трассы должны быть заземлены и не иметь острых краев.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u w:val="single"/>
                <w:lang w:eastAsia="ru-RU" w:bidi="ru-RU"/>
              </w:rPr>
              <w:t>Трассы прокладки абонентских участков кабельных систем.</w:t>
            </w:r>
          </w:p>
          <w:p>
            <w:pPr>
              <w:pStyle w:val="ListParagraph"/>
              <w:widowControl w:val="false"/>
              <w:numPr>
                <w:ilvl w:val="2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При проектировании трасс абонентских участков предусмотреть выбор таких закладных устройств, которые были бы достаточными для прокладки кабелей всех обязательных систем с учетом их комфортной эксплуатации, с коэффициентом заполнения этих устройств не более 0,6.</w:t>
            </w:r>
          </w:p>
          <w:p>
            <w:pPr>
              <w:pStyle w:val="ListParagraph"/>
              <w:widowControl w:val="false"/>
              <w:numPr>
                <w:ilvl w:val="2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Трассы абонентских участков кабельных систем от этажных телекоммуникационных отсеков до точки ввода в помещения объекта предусмотреть с применением настенных закрытых коробов шириной не менее 50 мм, встроенных коробов, за фальш-потолком или в гофротрубах замоноличенных в подготовке пола. Горизонтальную прокладку трассы предусмотреть на высоте не менее 2500 мм.</w:t>
            </w:r>
          </w:p>
          <w:p>
            <w:pPr>
              <w:pStyle w:val="ListParagraph"/>
              <w:widowControl w:val="false"/>
              <w:numPr>
                <w:ilvl w:val="2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В случае размещения участков трассы абонентских кабельных систем за фальш-потолком, предусмотреть размещение системы проволочных кабельных лотков.</w:t>
            </w:r>
          </w:p>
          <w:p>
            <w:pPr>
              <w:pStyle w:val="ListParagraph"/>
              <w:widowControl w:val="false"/>
              <w:numPr>
                <w:ilvl w:val="2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Все металлические части участков абонентских кабельных трасс должны быть заземлены и не иметь острых краев.</w:t>
            </w:r>
          </w:p>
        </w:tc>
      </w:tr>
      <w:tr>
        <w:trPr/>
        <w:tc>
          <w:tcPr>
            <w:tcW w:w="3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left" w:pos="357" w:leader="none"/>
              </w:tabs>
              <w:suppressAutoHyphens w:val="false"/>
              <w:spacing w:before="0" w:after="0"/>
              <w:ind w:hanging="0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Строительство ВОЛС</w:t>
            </w:r>
          </w:p>
        </w:tc>
        <w:tc>
          <w:tcPr>
            <w:tcW w:w="59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283" w:start="235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Строительство ВОЛС от существующего узла доступа ПАО «Ростелеком» (Ижевск г., ул. Песочная, 14) до проектируемого ТКШ на объекте предусмотреть по существующей и проектируемой кабельной канализации. Количество волокон в оптическом кабеле определить проектом.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При строительстве предусмотреть использование оптического кабеля с изоляцией, не поддерживающей горение, в соответствии с ГОСТ 31565-2012 «Кабельные изделия. Требования пожарной безопасности».</w:t>
            </w:r>
          </w:p>
        </w:tc>
      </w:tr>
      <w:tr>
        <w:trPr/>
        <w:tc>
          <w:tcPr>
            <w:tcW w:w="3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left" w:pos="357" w:leader="none"/>
              </w:tabs>
              <w:suppressAutoHyphens w:val="false"/>
              <w:spacing w:before="0" w:after="0"/>
              <w:ind w:hanging="0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Строительство распределительной сети (телефония, интернет)</w:t>
            </w:r>
          </w:p>
        </w:tc>
        <w:tc>
          <w:tcPr>
            <w:tcW w:w="59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В выделенном месте установить телекоммуникационный/ые шкаф/ы (ТКШ). ТКШ заземлить.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Предусмотреть установку абонентских патч-панелей на каждом этаже здания Объекта в этажном телекоммуникационном отсеке с учетом потребности подключения помещений/офисов.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От проектируемого(ых) ТКШ до этажных абонентских патч-панелей, проложить кабели типа «витая пара» категории не ниже 5е (UTP-Cat5e/Cat6) расчетной емкости с учетом встроенных помещений в соответствии с проектом.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Проложить абонентские кабели типа «витая пара» категории не ниже 5е (UTP-Cat5e/Cat6) от абонентских патч-панелей/КРН, до подключаемых помещений, с установкой абонентских розеток.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lang w:eastAsia="ru-RU" w:bidi="ru-RU"/>
              </w:rPr>
              <w:t xml:space="preserve">Марки и модели оборудования необходимо согласовать на этапе проектирования с ПАО «Ростелеком». </w:t>
            </w:r>
          </w:p>
        </w:tc>
      </w:tr>
      <w:tr>
        <w:trPr/>
        <w:tc>
          <w:tcPr>
            <w:tcW w:w="3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false"/>
              <w:spacing w:before="0" w:after="0"/>
              <w:ind w:hanging="0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Строительство сети проводного вещания </w:t>
            </w:r>
          </w:p>
        </w:tc>
        <w:tc>
          <w:tcPr>
            <w:tcW w:w="59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В выделенном месте установить металлические шкафы для размещения в них оборудования радиовещания. Количество и тип шкафов определить на стадии проектирования.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Разместить шкафах оборудование проводного радиовещания (абонентские трансформаторы, конвертеры, усилители и другое оборудование).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Выполнить распределительную и абонентскую части методом нижней разводки на основе симметричных экранированных соединительных кабелей с установкой поэтажных распределительных коробок и абонентских розеток.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На каждом этаже в этажных телекоммуникационных отсеках установить коробки распределительные-ограничительные РОН-2 или КРА-4 из расчета 1 абонентский отвод – 1 абонент (помещение).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В радиофицируемых помещениях установить абонентские розетки исходя из технических потребностей и регламентирующих документов.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Количество радиоточек в проектируемом здании определить на стадии проектирования в соответствии с СП 133.13330.2012 «Сети проводного радиовещания и оповещения в зданиях и сооружениях. Нормы проектирования».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От оборудования звукового вещания проложить двухжильный кабель с однопроволочными медными жилами сечением не менее 1 мм через этажные распределительные коробки РОН-2/КРА-4 неразрывно (шлейфом).  Использовать кабель с изоляцией и оболочкой пониженной пожарной опасности, удовлетворяющий требованиям ГОСТ 31565-2012 «Кабельные изделия. Требования пожарной безопасности».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От абонентских отводов РОН-2/КРА-4 до абонентских розеток проложить двухжильный кабель с однопроволочными медными жилами сечением не менее 1 мм в закладных устройствах. Использовать кабель с изоляцией и оболочкой пониженной пожарной опасности, удовлетворяющий требованиям ГОСТ 31565-2012 «Кабельные изделия. Требования пожарной безопасности».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Расчет нагрузки сети радиовещания произвести из расчёта 0,25Вт на 1-го абонента (помещение).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Обеспечить бесперебойное питание активного оборудования радиофикации путем установки источника бесперебойного питания с топологией Line-Interactive (линейно-интерактивные) с подключением внешней АБ. Внешние аккумуляторные батареи для ИБП должны применяться в соответствие с условиями эксплуатации оборудования - разряд/заряд следующих типов: герметичные свинцово-кислотные, необслуживаемые с установленным сроком службы 3 - 5 лет либо аккумуляторные батареи на базе технологии LiFePO4. ИБП должен обеспечивать не менее 4 часов автономной работы активного оборудования радиофикации.</w:t>
            </w:r>
          </w:p>
        </w:tc>
      </w:tr>
      <w:tr>
        <w:trPr/>
        <w:tc>
          <w:tcPr>
            <w:tcW w:w="3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left" w:pos="357" w:leader="none"/>
              </w:tabs>
              <w:suppressAutoHyphens w:val="false"/>
              <w:spacing w:before="0" w:after="0"/>
              <w:ind w:hanging="0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Требования к прокладке и изоляции сетей электросвязи</w:t>
            </w:r>
          </w:p>
        </w:tc>
        <w:tc>
          <w:tcPr>
            <w:tcW w:w="59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С целью выполнения условий эксплуатации кабельных систем должен быть обеспечен доступ сотрудников ПАО «Ростелеком» к оборудованию, арматуре, приборам кабельной системы здания и их соединениям для осмотра, технического обслуживания, ремонта и замены.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Кабельные трассы прокладываются в лестничных клетках, лестнично-лифтовых узлах, коридорах, чердаках, подпольях, технических этажах и других помещениях, доступных для обслуживающего персонала в любое время суток.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Кабельные трассы должны быть организованы параллельно архитектурным линиям помещения.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Все компоненты кабельных систем должны быть маркированы таким образом, чтобы можно было однозначно определить владельца и назначение кабельной системы.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Для прокладки кабелей сетей систем электросвязи (кроме кабелей сети проводного радиовещания) в технических подпольях и цокольных этажах необходимо предусмотреть кабелепроводные системы в виде кабельных лотков, при этом лотки для указанных сетей следует прокладывать под лотками для прокладки электрических кабелей. Допускается совместная прокладка кабелей различных систем электросвязи на одной полке и прокладка кабелей на отдельных участках вне лотков в самозатухающих полимерных трубах по ГОСТ Р МЭК 61386.1, обеспечивающих механическую защиту кабеля и защиту от агрессивного воздействия окружающей среды.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 xml:space="preserve">Прокладку в техническом подполье неэкранированных кабелей сети проводного радиовещания предусмотреть в стальных трубах. 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Использовать кабель с изоляцией и оболочкой пониженной пожарной опасности, удовлетворяющий требованиям ГОСТ 31565-2012 «Кабельные изделия. Требования пожарной безопасности».</w:t>
            </w:r>
          </w:p>
        </w:tc>
      </w:tr>
      <w:tr>
        <w:trPr/>
        <w:tc>
          <w:tcPr>
            <w:tcW w:w="3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left" w:pos="357" w:leader="none"/>
              </w:tabs>
              <w:suppressAutoHyphens w:val="false"/>
              <w:spacing w:before="0" w:after="0"/>
              <w:ind w:hanging="0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Порядок эксплуатационно-технического обслуживания средств связи и линий связи</w:t>
            </w:r>
          </w:p>
        </w:tc>
        <w:tc>
          <w:tcPr>
            <w:tcW w:w="59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ind w:firstLine="357" w:start="13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Граница эксплуатационной ответственности по сетям связи определяется в Акте о подключении (технологическом присоединении).</w:t>
            </w:r>
          </w:p>
          <w:p>
            <w:pPr>
              <w:pStyle w:val="ListParagraph"/>
              <w:widowControl w:val="false"/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Эксплуатация сетей связи, построенных в целях подключения Объекта к сети связи ПАО «Ростелеком», в границах зон разграничения эксплуатационной ответственности, определенных в Акте о подключении, осуществляется сторонами за свой счет.</w:t>
            </w:r>
          </w:p>
        </w:tc>
      </w:tr>
      <w:tr>
        <w:trPr/>
        <w:tc>
          <w:tcPr>
            <w:tcW w:w="3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false"/>
              <w:spacing w:before="0" w:after="0"/>
              <w:ind w:hanging="0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Порядок принятия мер по обеспечению устойчивого функционирования сетей электросвязи, в том числе в чрезвычайных ситуациях</w:t>
            </w:r>
          </w:p>
        </w:tc>
        <w:tc>
          <w:tcPr>
            <w:tcW w:w="59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В чрезвычайных ситуациях управление сетями связи осуществляется в соответствии со статьями 65, 65.1, 66 Федерального закона «О связи» № 126-ФЗ от 07.07.2003.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Устойчивое функционирование сетей связи обеспечивается топологией сети и схемой организации связи с использованием принципов резервирования при проектировании и построении сетей электросвязи, а также в соответствии с «Требованиями к организационно-техническому обеспечению устойчивого функционирования сети связи общего пользования», утвержденных приказом Министерства цифрового развития, связи и массовых коммуникаций Российской Федерации № 1229 от 25.11.2021.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Порядок принятия мер в чрезвычайных ситуациях осуществляется в соответствии с «Положением о приоритетном использовании, а также приостановлении или ограничении использования любых сетей связи и средств связи во время чрезвычайных ситуаций природного и техногенного характера», утвержденным постановлением Правительства РФ № 921 от 20.05.2022.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Действия Заказчика в процессе эксплуатации объекта не должны приводить к созданию помех на сетях связи, а также нарушать функционирование оборудования ПАО «Ростелеком».</w:t>
            </w:r>
          </w:p>
        </w:tc>
      </w:tr>
      <w:tr>
        <w:trPr/>
        <w:tc>
          <w:tcPr>
            <w:tcW w:w="3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false"/>
              <w:spacing w:before="0" w:after="0"/>
              <w:ind w:hanging="0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Требования к выполнению проектных и строительно-монтажных работ</w:t>
            </w:r>
          </w:p>
        </w:tc>
        <w:tc>
          <w:tcPr>
            <w:tcW w:w="59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Проект по строительству сетей выполнить в соответствии с требованиями РД 45.120-2000 «Нормы технологического проектирования. Городские и сельские телефонные сети», ГОСТ Р 21.703-2020 «Система проектной документации для строительства. Правила выполнения рабочей документации проводных средств связи».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Проект строительства кабельной канализации должен быть выполнен в соответствии с ГОСТ Р 21.703-2020 и содержать следующее:</w:t>
            </w:r>
          </w:p>
          <w:p>
            <w:pPr>
              <w:pStyle w:val="Normal"/>
              <w:widowControl w:val="false"/>
              <w:numPr>
                <w:ilvl w:val="1"/>
                <w:numId w:val="2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ar-SA"/>
              </w:rPr>
              <w:t>общие данные;</w:t>
            </w:r>
          </w:p>
          <w:p>
            <w:pPr>
              <w:pStyle w:val="Normal"/>
              <w:widowControl w:val="false"/>
              <w:numPr>
                <w:ilvl w:val="1"/>
                <w:numId w:val="2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ar-SA"/>
              </w:rPr>
              <w:t>ситуационный план, выполненный в масштабе 1: 2000;</w:t>
            </w:r>
          </w:p>
          <w:p>
            <w:pPr>
              <w:pStyle w:val="Normal"/>
              <w:widowControl w:val="false"/>
              <w:numPr>
                <w:ilvl w:val="1"/>
                <w:numId w:val="2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ar-SA"/>
              </w:rPr>
              <w:t>план трассы кабельной канализации, выполненный в масштабе 1: 500;</w:t>
            </w:r>
          </w:p>
          <w:p>
            <w:pPr>
              <w:pStyle w:val="Normal"/>
              <w:widowControl w:val="false"/>
              <w:numPr>
                <w:ilvl w:val="1"/>
                <w:numId w:val="2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ar-SA"/>
              </w:rPr>
              <w:t>продольный профиль;</w:t>
            </w:r>
          </w:p>
          <w:p>
            <w:pPr>
              <w:pStyle w:val="Normal"/>
              <w:widowControl w:val="false"/>
              <w:numPr>
                <w:ilvl w:val="1"/>
                <w:numId w:val="2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ar-SA"/>
              </w:rPr>
              <w:t>спецификация оборудования изделий и материалов.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Проект прокладки волоконно-оптических линий связи должен быть выполнен в соответствии с ГОСТ Р 21.703</w:t>
              <w:noBreakHyphen/>
              <w:t>2020 и содержать следующее: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ar-SA"/>
              </w:rPr>
              <w:t>общие данные;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ar-SA"/>
              </w:rPr>
              <w:t>ситуационный план, выполненный в масштабе 1: 2000;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ar-SA"/>
              </w:rPr>
              <w:t>план трассы кабельной линии, выполненный в масштабе 1: 500;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ar-SA"/>
              </w:rPr>
              <w:t>схемы разварки муфт и кроссов;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ar-SA"/>
              </w:rPr>
              <w:t>схемы размещения оборудования и устройств в шкафах;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ar-SA"/>
              </w:rPr>
              <w:t>расчет оптического бюджета;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ar-SA"/>
              </w:rPr>
              <w:t>план расположения сети связи в здании;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ar-SA"/>
              </w:rPr>
              <w:t>план расположения оборудования в помещениях СС, выполненный в масштабе 1:50;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ar-SA"/>
              </w:rPr>
              <w:t>схема электропитания активного оборудования;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ar-SA"/>
              </w:rPr>
              <w:t>спецификация оборудования изделий и материалов.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Проект строительства распределительной сети должен быть выполнен в соответствии с ГОСТ Р 21.703-2020 и содержать следующее: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ar-SA"/>
              </w:rPr>
              <w:t>общие данные;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ar-SA"/>
              </w:rPr>
              <w:t>план трасс прокладки кабельных линий и расположения оборудования, выполненный в масштабе 1: 50;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ar-SA"/>
              </w:rPr>
              <w:t>схемы размещения оборудования и устройств в шкафах;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ar-SA"/>
              </w:rPr>
              <w:t>схемы сетей связи в здании;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ar-SA"/>
              </w:rPr>
              <w:t>схема электропитания активного оборудования;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ar-SA"/>
              </w:rPr>
              <w:t>спецификация оборудования изделий и материалов;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>однолинейная схема электрической сети с указанием точки/ек присоединения к объекту/ам электросетевого хозяйства;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>проект электроснабжения оборудования связи с присоединением к электрическим сетям на границе участка (границе балансовой принадлежности), предусмотренного проектом на объект капитального строительства в разделе Рабочей документации системы электроснабжения по объекту капитального строительства на основании следующих нормативных документов;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>ПУЭ издание 6,7;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>СП 256.1325800.2016 «Электроустановки жилых и общественных зданий. Правила проектирования и монтажа»;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>ГОСТ 24291 Электрическая часть электростанции и электрической сети»;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uppressAutoHyphens w:val="true"/>
              <w:spacing w:lineRule="auto" w:line="233" w:before="0" w:after="0"/>
              <w:ind w:hanging="357" w:start="714" w:end="13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 w:cs="Times New Roman" w:ascii="Times New Roman" w:hAnsi="Times New Roman"/>
                <w:color w:val="auto"/>
                <w:sz w:val="22"/>
                <w:szCs w:val="22"/>
                <w:lang w:eastAsia="ru-RU" w:bidi="ru-RU"/>
              </w:rPr>
              <w:t>А10-93 «Защитное заземление и зануление электроустановок».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размещения существующих и проектируемых сетей связи и сетей электроснабжения оборудования связи отобразить: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spacing w:lineRule="auto" w:line="233"/>
              <w:ind w:hanging="357" w:start="714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 проектной документации к заявлению на выдачу разрешения на строительство в соответствии с «Градостроительным кодексом РФ» ФЗ-190;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spacing w:lineRule="auto" w:line="233"/>
              <w:ind w:hanging="357" w:start="714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 комплексной схеме инженерного обеспечения территории (КСИО) (при утверждении КСИО в соответствии с «Градостроительным кодексом РФ» ФЗ</w:t>
              <w:noBreakHyphen/>
              <w:t>190).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/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 xml:space="preserve">При выполнении проектных и строительно-монтажных работ руководствоваться Техническими требованиями ПАО «Ростелеком», размещенными на портале </w:t>
            </w:r>
            <w:hyperlink r:id="rId2">
              <w:r>
                <w:rPr>
                  <w:rStyle w:val="Hyperlink"/>
                  <w:color w:val="auto"/>
                  <w:sz w:val="22"/>
                  <w:szCs w:val="22"/>
                  <w:u w:val="none"/>
                  <w:lang w:bidi="ru-RU"/>
                </w:rPr>
                <w:t>https://zakupki.rostelecom.ru/info_docs/tz/building/</w:t>
              </w:r>
            </w:hyperlink>
            <w:r>
              <w:rPr>
                <w:rFonts w:eastAsia="Courier New"/>
                <w:sz w:val="22"/>
                <w:szCs w:val="22"/>
                <w:lang w:eastAsia="ru-RU" w:bidi="ru-RU"/>
              </w:rPr>
              <w:t>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В проектах предусмотреть специальные меры по сохранности оборудования. Активное оборудование устанавливать в ящиках повышенной защищенности от механических воздействий, оборудованных сейфовыми замками и вентиляционными отверстиями.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Активное оборудование подключать от распределительного щита, устанавливаемого в специально выделенном помещении, по отдельным кабельным линиям, с установкой автоматов защиты в распределительном щите и в проектируемых металлических шкафах.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Номинальный ток защитных автоматов необходимо определять исходя из значений потребляемых электрических мощностей.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Бесперебойное электропитание коммутаторов, конвертеров IP/СПВ обеспечить путем установки источника бесперебойного питания с топологией Line-Interactive (линейно-интерактивные) с подключением внешней АБ. Внешние аккумуляторные батареи для ИБП должны применяться в соответствие с условиями эксплуатации оборудования - разряд/заряд следующих типов: герметичные свинцово-кислотные, необслуживаемые с установленным сроком службы 3 - 5 лет либо аккумуляторные батареи на базе технологии LiFePO4. ИБП должен обеспечивать не менее 4 часов автономной работы.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 xml:space="preserve">Проектные и строительно-монтажные работы должны производиться организациями, </w:t>
            </w:r>
            <w:r>
              <w:rPr>
                <w:rFonts w:eastAsia="Courier New"/>
                <w:bCs/>
                <w:iCs/>
                <w:sz w:val="22"/>
                <w:szCs w:val="22"/>
                <w:lang w:eastAsia="ru-RU" w:bidi="ru-RU"/>
              </w:rPr>
              <w:t>имеющих аккредитацию в саморегулируемой организации (СРО) с правом осуществления данных работ в соответствии с законодательством РФ.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425" w:start="87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Проектную документацию предоставить на согласование в ПАО «Ростелеком» по адресу: office_ud@volga.rt.ru</w:t>
            </w:r>
            <w:r>
              <w:rPr>
                <w:rFonts w:eastAsia="Courier New"/>
                <w:sz w:val="22"/>
                <w:szCs w:val="22"/>
                <w:lang w:bidi="ru-RU"/>
              </w:rPr>
              <w:t>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Обеспечение технического надзора за строительством кабельной канализации и прокладкой кабеля связи.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В кабельных колодцах произвести герметизацию кабельных каналов, маркировку проложенного ВОК полимерными бирками или бирками КМП (пластмассового маркировочного комплекта) с указанием: марки кабеля, номера (направления) кабеля, даты прокладки и владельца. Маркировка кабеля бирками осуществляется по всей трассе прокладки: в кабельной шахте, в станционном кабельном колодце, в смотровых устройствах.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После окончания строительных работ подготовить объект строительства к сдаче с участием представителей сервисного центра (далее СЦ) г. Ижевск Удмуртского филиала ПАО «Ростелеком» с предоставлением исполнительной документации.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/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 xml:space="preserve">Состав исполнительной документации уточнить на портале ПАО «Ростелеком» по ссылке: </w:t>
            </w:r>
            <w:hyperlink r:id="rId3">
              <w:r>
                <w:rPr>
                  <w:rStyle w:val="Hyperlink"/>
                  <w:rFonts w:eastAsia="Courier New"/>
                  <w:color w:val="auto"/>
                  <w:sz w:val="22"/>
                  <w:szCs w:val="22"/>
                  <w:u w:val="none"/>
                  <w:lang w:eastAsia="ru-RU" w:bidi="ru-RU"/>
                </w:rPr>
                <w:t>https://zakupki.rostelecom.ru/info_docs/tz/documents/</w:t>
              </w:r>
            </w:hyperlink>
            <w:r>
              <w:rPr>
                <w:rFonts w:eastAsia="Courier New"/>
                <w:sz w:val="22"/>
                <w:szCs w:val="22"/>
                <w:lang w:eastAsia="ru-RU" w:bidi="ru-RU"/>
              </w:rPr>
              <w:t>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>Исполнительную документацию (1 экз. на бумажном носителе + 1 экз. в электронном виде), подписанную лицом, осуществляющим технический надзор, предоставить в СЦ г. Ижевск Удмуртского филиала ПАО «Ростелеком»: г. Ижевск, ул. Карла Маркса, д. 206. Директор сервисного центра Килин Денис Анатольевич.</w:t>
            </w:r>
          </w:p>
        </w:tc>
      </w:tr>
      <w:tr>
        <w:trPr/>
        <w:tc>
          <w:tcPr>
            <w:tcW w:w="3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false"/>
              <w:spacing w:before="0" w:after="0"/>
              <w:ind w:hanging="0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themeColor="text1" w:val="000000"/>
                <w:sz w:val="22"/>
                <w:szCs w:val="22"/>
                <w:lang w:eastAsia="ru-RU" w:bidi="ru-RU"/>
              </w:rPr>
              <w:t>Требования к проектируемому строительному объекту</w:t>
            </w:r>
          </w:p>
        </w:tc>
        <w:tc>
          <w:tcPr>
            <w:tcW w:w="59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eastAsia="ru-RU" w:bidi="ru-RU"/>
              </w:rPr>
              <w:t xml:space="preserve">В случае попадания в пятно застройки существующих линий и сооружений связи ПАО «Ростелеком», до начала производства работ на объекте, предусмотреть реконструкцию (вынос/защиту) ЛКСС с перекладкой и переключением всех кабелей за счет средств Заказчика по отдельным ТТиУ ПАО «Ростелеком». </w:t>
            </w:r>
          </w:p>
        </w:tc>
      </w:tr>
      <w:tr>
        <w:trPr/>
        <w:tc>
          <w:tcPr>
            <w:tcW w:w="3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false"/>
              <w:spacing w:before="0" w:after="0"/>
              <w:ind w:hanging="0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themeColor="text1" w:val="000000"/>
                <w:sz w:val="22"/>
                <w:szCs w:val="22"/>
                <w:lang w:eastAsia="ru-RU" w:bidi="ru-RU"/>
              </w:rPr>
              <w:t>Срок действия настоящих технических условий</w:t>
            </w:r>
          </w:p>
        </w:tc>
        <w:tc>
          <w:tcPr>
            <w:tcW w:w="59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firstLine="357" w:start="130" w:end="13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 w:cs="Times New Roman" w:ascii="Times New Roman" w:hAnsi="Times New Roman"/>
                <w:bCs/>
                <w:color w:val="auto"/>
                <w:sz w:val="22"/>
                <w:szCs w:val="22"/>
                <w:lang w:eastAsia="ru-RU" w:bidi="ru-RU"/>
              </w:rPr>
              <w:t>Срок действия технических условий – 3 года. В случае если в течение 1 года со дня выдачи технических условий Заявителем не будет подана заявка о подключении, срок действия ТУ прекращается.</w:t>
            </w:r>
          </w:p>
          <w:p>
            <w:pPr>
              <w:pStyle w:val="ListParagraph"/>
              <w:widowControl w:val="false"/>
              <w:suppressAutoHyphens w:val="false"/>
              <w:spacing w:before="0" w:after="0"/>
              <w:ind w:firstLine="357" w:start="130" w:end="136"/>
              <w:contextualSpacing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ourier New"/>
                <w:bCs/>
                <w:sz w:val="22"/>
                <w:szCs w:val="22"/>
                <w:lang w:eastAsia="ru-RU" w:bidi="ru-RU"/>
              </w:rPr>
              <w:t>Технические условия выдаются в целях заключения договора о подключении (технологическом присоединении) и являются обязательным приложением к договору о подключении.</w:t>
            </w:r>
          </w:p>
        </w:tc>
      </w:tr>
    </w:tbl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  <w:bookmarkStart w:id="0" w:name="_GoBack"/>
      <w:bookmarkStart w:id="1" w:name="_GoBack"/>
      <w:bookmarkEnd w:id="1"/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cs="Times New Roman" w:ascii="Times New Roman" w:hAnsi="Times New Roman"/>
          <w:color w:val="auto"/>
          <w:sz w:val="18"/>
          <w:szCs w:val="18"/>
        </w:rPr>
        <w:t>Новикова Полина Павловна</w:t>
      </w:r>
    </w:p>
    <w:p>
      <w:pPr>
        <w:pStyle w:val="Normal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cs="Times New Roman" w:ascii="Times New Roman" w:hAnsi="Times New Roman"/>
          <w:color w:val="auto"/>
          <w:sz w:val="18"/>
          <w:szCs w:val="18"/>
        </w:rPr>
        <w:t>89932326298</w:t>
      </w:r>
    </w:p>
    <w:p>
      <w:pPr>
        <w:pStyle w:val="Normal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color w:val="auto"/>
          <w:sz w:val="18"/>
          <w:szCs w:val="18"/>
          <w:lang w:val="en-US"/>
        </w:rPr>
        <w:t>Polina</w:t>
      </w:r>
      <w:r>
        <w:rPr>
          <w:rFonts w:cs="Times New Roman" w:ascii="Times New Roman" w:hAnsi="Times New Roman"/>
          <w:color w:val="auto"/>
          <w:sz w:val="18"/>
          <w:szCs w:val="18"/>
        </w:rPr>
        <w:t>_</w:t>
      </w:r>
      <w:r>
        <w:rPr>
          <w:rFonts w:cs="Times New Roman" w:ascii="Times New Roman" w:hAnsi="Times New Roman"/>
          <w:color w:val="auto"/>
          <w:sz w:val="18"/>
          <w:szCs w:val="18"/>
          <w:lang w:val="en-US"/>
        </w:rPr>
        <w:t>Gorokhova</w:t>
      </w:r>
      <w:r>
        <w:rPr>
          <w:rFonts w:cs="Times New Roman" w:ascii="Times New Roman" w:hAnsi="Times New Roman"/>
          <w:color w:val="auto"/>
          <w:sz w:val="18"/>
          <w:szCs w:val="18"/>
        </w:rPr>
        <w:t>@</w:t>
      </w:r>
      <w:r>
        <w:rPr>
          <w:rFonts w:cs="Times New Roman" w:ascii="Times New Roman" w:hAnsi="Times New Roman"/>
          <w:color w:val="auto"/>
          <w:sz w:val="18"/>
          <w:szCs w:val="18"/>
          <w:lang w:val="en-US"/>
        </w:rPr>
        <w:t>center</w:t>
      </w:r>
      <w:r>
        <w:rPr>
          <w:rFonts w:cs="Times New Roman" w:ascii="Times New Roman" w:hAnsi="Times New Roman"/>
          <w:color w:val="auto"/>
          <w:sz w:val="18"/>
          <w:szCs w:val="18"/>
        </w:rPr>
        <w:t>.</w:t>
      </w:r>
      <w:r>
        <w:rPr>
          <w:rFonts w:cs="Times New Roman" w:ascii="Times New Roman" w:hAnsi="Times New Roman"/>
          <w:color w:val="auto"/>
          <w:sz w:val="18"/>
          <w:szCs w:val="18"/>
          <w:lang w:val="en-US"/>
        </w:rPr>
        <w:t>rt</w:t>
      </w:r>
      <w:r>
        <w:rPr>
          <w:rFonts w:cs="Times New Roman" w:ascii="Times New Roman" w:hAnsi="Times New Roman"/>
          <w:color w:val="auto"/>
          <w:sz w:val="18"/>
          <w:szCs w:val="18"/>
        </w:rPr>
        <w:t>.</w:t>
      </w:r>
      <w:r>
        <w:rPr>
          <w:rFonts w:cs="Times New Roman" w:ascii="Times New Roman" w:hAnsi="Times New Roman"/>
          <w:color w:val="auto"/>
          <w:sz w:val="18"/>
          <w:szCs w:val="18"/>
          <w:lang w:val="en-US"/>
        </w:rPr>
        <w:t>ru</w:t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701" w:right="567" w:gutter="0" w:header="709" w:top="1134" w:footer="737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GOST type B">
    <w:charset w:val="01" w:characterSet="utf-8"/>
    <w:family w:val="swiss"/>
    <w:pitch w:val="variable"/>
  </w:font>
  <w:font w:name="Cambria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TimesET">
    <w:charset w:val="01" w:characterSet="utf-8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Times New Roman" w:hAnsi="Times New Roman" w:cs="Times New Roman"/>
        <w:sz w:val="26"/>
        <w:szCs w:val="26"/>
      </w:rPr>
    </w:pPr>
    <w:r>
      <w:rPr>
        <w:rFonts w:cs="Times New Roman" w:ascii="Times New Roman" w:hAnsi="Times New Roman"/>
        <w:sz w:val="26"/>
        <w:szCs w:val="26"/>
      </w:rPr>
      <w:t>ТУ № 01/17/</w:t>
    </w:r>
    <w:r>
      <w:rPr>
        <w:rFonts w:cs="Times New Roman" w:ascii="Times New Roman" w:hAnsi="Times New Roman"/>
        <w:sz w:val="26"/>
        <w:szCs w:val="26"/>
      </w:rPr>
      <w:t>3537</w:t>
    </w:r>
    <w:r>
      <w:rPr>
        <w:rFonts w:cs="Times New Roman" w:ascii="Times New Roman" w:hAnsi="Times New Roman"/>
        <w:sz w:val="26"/>
        <w:szCs w:val="26"/>
      </w:rPr>
      <w:t>/2</w:t>
    </w:r>
    <w:r>
      <w:rPr>
        <w:rFonts w:cs="Times New Roman" w:ascii="Times New Roman" w:hAnsi="Times New Roman"/>
        <w:sz w:val="26"/>
        <w:szCs w:val="26"/>
      </w:rPr>
      <w:t>6</w:t>
    </w:r>
  </w:p>
  <w:p>
    <w:pPr>
      <w:pStyle w:val="Footer"/>
      <w:rPr>
        <w:rFonts w:ascii="Times New Roman" w:hAnsi="Times New Roman" w:cs="Times New Roman"/>
        <w:sz w:val="26"/>
        <w:szCs w:val="26"/>
      </w:rPr>
    </w:pPr>
    <w:r>
      <w:rPr>
        <w:rFonts w:cs="Times New Roman" w:ascii="Times New Roman" w:hAnsi="Times New Roman"/>
        <w:sz w:val="26"/>
        <w:szCs w:val="26"/>
      </w:rPr>
      <w:t>ПАО «Ростелеком»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Times New Roman" w:hAnsi="Times New Roman" w:cs="Times New Roman"/>
        <w:sz w:val="26"/>
        <w:szCs w:val="26"/>
      </w:rPr>
    </w:pPr>
    <w:r>
      <w:rPr>
        <w:rFonts w:cs="Times New Roman" w:ascii="Times New Roman" w:hAnsi="Times New Roman"/>
        <w:sz w:val="26"/>
        <w:szCs w:val="26"/>
      </w:rPr>
      <w:t>ПАО «Ростелеком»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 w:cs="Times New Roman"/>
        <w:sz w:val="26"/>
        <w:szCs w:val="26"/>
      </w:rPr>
    </w:pPr>
    <w:r>
      <w:rPr>
        <w:rFonts w:cs="Times New Roman" w:ascii="Times New Roman" w:hAnsi="Times New Roman"/>
        <w:sz w:val="26"/>
        <w:szCs w:val="26"/>
      </w:rPr>
      <w:fldChar w:fldCharType="begin"/>
    </w:r>
    <w:r>
      <w:rPr>
        <w:sz w:val="26"/>
        <w:szCs w:val="26"/>
        <w:rFonts w:cs="Times New Roman" w:ascii="Times New Roman" w:hAnsi="Times New Roman"/>
      </w:rPr>
      <w:instrText xml:space="preserve"> PAGE </w:instrText>
    </w:r>
    <w:r>
      <w:rPr>
        <w:sz w:val="26"/>
        <w:szCs w:val="26"/>
        <w:rFonts w:cs="Times New Roman" w:ascii="Times New Roman" w:hAnsi="Times New Roman"/>
      </w:rPr>
      <w:fldChar w:fldCharType="separate"/>
    </w:r>
    <w:r>
      <w:rPr>
        <w:sz w:val="26"/>
        <w:szCs w:val="26"/>
        <w:rFonts w:cs="Times New Roman" w:ascii="Times New Roman" w:hAnsi="Times New Roman"/>
      </w:rPr>
      <w:t>11</w:t>
    </w:r>
    <w:r>
      <w:rPr>
        <w:sz w:val="26"/>
        <w:szCs w:val="26"/>
        <w:rFonts w:cs="Times New Roman" w:ascii="Times New Roman" w:hAnsi="Times New Roman"/>
      </w:rPr>
      <w:fldChar w:fldCharType="end"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357"/>
        <w:tab w:val="center" w:pos="4677" w:leader="none"/>
        <w:tab w:val="right" w:pos="9355" w:leader="none"/>
      </w:tabs>
      <w:jc w:val="end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360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504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576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850" w:hanging="360"/>
      </w:pPr>
      <w:rPr>
        <w:sz w:val="22"/>
        <w:szCs w:val="22"/>
        <w:rFonts w:ascii="Times New Roman" w:hAnsi="Times New Roman" w:cs="Times New Roman"/>
      </w:rPr>
    </w:lvl>
    <w:lvl w:ilvl="1">
      <w:start w:val="1"/>
      <w:numFmt w:val="bullet"/>
      <w:lvlText w:val=""/>
      <w:lvlJc w:val="start"/>
      <w:pPr>
        <w:tabs>
          <w:tab w:val="num" w:pos="0"/>
        </w:tabs>
        <w:ind w:start="1570" w:hanging="360"/>
      </w:pPr>
      <w:rPr>
        <w:rFonts w:ascii="Symbol" w:hAnsi="Symbol" w:cs="Symbol" w:hint="default"/>
        <w:sz w:val="22"/>
        <w:szCs w:val="22"/>
      </w:rPr>
    </w:lvl>
    <w:lvl w:ilvl="2">
      <w:start w:val="1"/>
      <w:numFmt w:val="lowerRoman"/>
      <w:lvlText w:val="%3."/>
      <w:lvlJc w:val="end"/>
      <w:pPr>
        <w:tabs>
          <w:tab w:val="num" w:pos="0"/>
        </w:tabs>
        <w:ind w:start="229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01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73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45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17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89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610" w:hanging="180"/>
      </w:pPr>
      <w:rPr/>
    </w:lvl>
  </w:abstractNum>
  <w:abstractNum w:abstractNumId="3">
    <w:lvl w:ilvl="0">
      <w:start w:val="1"/>
      <w:numFmt w:val="bullet"/>
      <w:lvlText w:val=""/>
      <w:lvlJc w:val="start"/>
      <w:pPr>
        <w:tabs>
          <w:tab w:val="num" w:pos="0"/>
        </w:tabs>
        <w:ind w:start="126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9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7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4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1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8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5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3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7022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start"/>
      <w:pPr>
        <w:tabs>
          <w:tab w:val="num" w:pos="0"/>
        </w:tabs>
        <w:ind w:start="85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5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29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01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7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45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17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8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61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"/>
      <w:lvlJc w:val="start"/>
      <w:pPr>
        <w:tabs>
          <w:tab w:val="num" w:pos="0"/>
        </w:tabs>
        <w:ind w:start="1239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95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67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39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11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83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55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27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999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)"/>
      <w:lvlJc w:val="start"/>
      <w:pPr>
        <w:tabs>
          <w:tab w:val="num" w:pos="0"/>
        </w:tabs>
        <w:ind w:start="357" w:hanging="357"/>
      </w:pPr>
      <w:rPr>
        <w:sz w:val="22"/>
        <w:rFonts w:ascii="Times New Roman" w:hAnsi="Times New Roman" w:cs="Times New Roman"/>
        <w:color w:val="auto"/>
      </w:rPr>
    </w:lvl>
    <w:lvl w:ilvl="1">
      <w:start w:val="1"/>
      <w:numFmt w:val="decimal"/>
      <w:lvlText w:val="%2."/>
      <w:lvlJc w:val="start"/>
      <w:pPr>
        <w:tabs>
          <w:tab w:val="num" w:pos="0"/>
        </w:tabs>
        <w:ind w:start="794" w:hanging="437"/>
      </w:pPr>
      <w:rPr>
        <w:sz w:val="22"/>
        <w:rFonts w:ascii="Times New Roman" w:hAnsi="Times New Roman" w:cs="Times New Roman"/>
        <w:color w:val="auto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191" w:hanging="397"/>
      </w:pPr>
      <w:rPr/>
    </w:lvl>
    <w:lvl w:ilvl="3">
      <w:start w:val="1"/>
      <w:numFmt w:val="decimal"/>
      <w:lvlText w:val="(%4)"/>
      <w:lvlJc w:val="start"/>
      <w:pPr>
        <w:tabs>
          <w:tab w:val="num" w:pos="0"/>
        </w:tabs>
        <w:ind w:start="1588" w:hanging="397"/>
      </w:pPr>
      <w:rPr/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985" w:hanging="397"/>
      </w:pPr>
      <w:rPr/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382" w:hanging="397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779" w:hanging="397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3176" w:hanging="397"/>
      </w:pPr>
      <w:rPr/>
    </w:lvl>
    <w:lvl w:ilvl="8">
      <w:start w:val="1"/>
      <w:numFmt w:val="lowerRoman"/>
      <w:lvlText w:val="%9."/>
      <w:lvlJc w:val="start"/>
      <w:pPr>
        <w:tabs>
          <w:tab w:val="num" w:pos="0"/>
        </w:tabs>
        <w:ind w:start="3573" w:hanging="397"/>
      </w:pPr>
      <w:rPr/>
    </w:lvl>
  </w:abstractNum>
  <w:abstractNum w:abstractNumId="7">
    <w:lvl w:ilvl="0">
      <w:start w:val="1"/>
      <w:numFmt w:val="decimal"/>
      <w:lvlText w:val="%1)"/>
      <w:lvlJc w:val="start"/>
      <w:pPr>
        <w:tabs>
          <w:tab w:val="num" w:pos="0"/>
        </w:tabs>
        <w:ind w:start="1207" w:hanging="360"/>
      </w:pPr>
      <w:rPr>
        <w:rFonts w:ascii="Times New Roman" w:hAnsi="Times New Roman" w:cs="Times New Roman"/>
        <w:color w:val="auto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927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647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367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4087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807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527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247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967" w:hanging="180"/>
      </w:pPr>
      <w:rPr/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z w:val="22"/>
        <w:i w:val="false"/>
        <w:b w:val="false"/>
        <w:color w:themeColor="text1" w:val="000000"/>
      </w:rPr>
    </w:lvl>
    <w:lvl w:ilvl="1">
      <w:start w:val="1"/>
      <w:numFmt w:val="decimal"/>
      <w:lvlText w:val="%1.%2."/>
      <w:lvlJc w:val="start"/>
      <w:pPr>
        <w:tabs>
          <w:tab w:val="num" w:pos="0"/>
        </w:tabs>
        <w:ind w:start="792" w:hanging="432"/>
      </w:pPr>
      <w:rPr>
        <w:sz w:val="22"/>
        <w:i w:val="false"/>
        <w:b w:val="false"/>
        <w:szCs w:val="22"/>
        <w:color w:themeColor="text1" w:val="000000"/>
      </w:rPr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224" w:hanging="504"/>
      </w:pPr>
      <w:rPr>
        <w:sz w:val="22"/>
        <w:i w:val="false"/>
        <w:b w:val="false"/>
        <w:color w:themeColor="text1" w:val="000000"/>
      </w:rPr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728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9">
    <w:lvl w:ilvl="0">
      <w:start w:val="1"/>
      <w:numFmt w:val="bullet"/>
      <w:lvlText w:val=""/>
      <w:lvlJc w:val="start"/>
      <w:pPr>
        <w:tabs>
          <w:tab w:val="num" w:pos="0"/>
        </w:tabs>
        <w:ind w:start="1055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7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4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2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9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6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3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0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815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"/>
      <w:lvlJc w:val="start"/>
      <w:pPr>
        <w:tabs>
          <w:tab w:val="num" w:pos="0"/>
        </w:tabs>
        <w:ind w:start="1055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7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4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2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9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6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3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0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815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"/>
      <w:lvlJc w:val="start"/>
      <w:pPr>
        <w:tabs>
          <w:tab w:val="num" w:pos="0"/>
        </w:tabs>
        <w:ind w:start="120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9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64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36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0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80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52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2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967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10"/>
  <w:defaultTabStop w:val="357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12688"/>
    <w:pPr>
      <w:widowControl/>
      <w:suppressAutoHyphens w:val="true"/>
      <w:bidi w:val="0"/>
      <w:spacing w:before="0" w:after="0"/>
      <w:jc w:val="start"/>
    </w:pPr>
    <w:rPr>
      <w:rFonts w:ascii="GOST type B" w:hAnsi="GOST type B" w:eastAsia="Batang" w:cs="Arial"/>
      <w:color w:val="333333"/>
      <w:kern w:val="0"/>
      <w:sz w:val="22"/>
      <w:szCs w:val="22"/>
      <w:lang w:val="ru-RU" w:eastAsia="ko-KR" w:bidi="ar-SA"/>
    </w:rPr>
  </w:style>
  <w:style w:type="paragraph" w:styleId="Heading1">
    <w:name w:val="heading 1"/>
    <w:basedOn w:val="Normal"/>
    <w:next w:val="Normal"/>
    <w:link w:val="1"/>
    <w:qFormat/>
    <w:rsid w:val="005423d5"/>
    <w:pPr>
      <w:keepNext w:val="true"/>
      <w:spacing w:before="240" w:after="60"/>
      <w:outlineLvl w:val="0"/>
    </w:pPr>
    <w:rPr>
      <w:rFonts w:ascii="Cambria" w:hAnsi="Cambria" w:eastAsia="Times New Roman" w:cs="Times New Roman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2"/>
    <w:qFormat/>
    <w:rsid w:val="00073935"/>
    <w:pPr>
      <w:keepNext w:val="true"/>
      <w:spacing w:before="240" w:after="60"/>
      <w:outlineLvl w:val="1"/>
    </w:pPr>
    <w:rPr>
      <w:rFonts w:ascii="Arial" w:hAnsi="Arial" w:eastAsia="Times New Roman"/>
      <w:b/>
      <w:bCs/>
      <w:i/>
      <w:iCs/>
      <w:color w:val="auto"/>
      <w:sz w:val="28"/>
      <w:szCs w:val="28"/>
      <w:lang w:eastAsia="ru-RU"/>
    </w:rPr>
  </w:style>
  <w:style w:type="paragraph" w:styleId="Heading6">
    <w:name w:val="heading 6"/>
    <w:basedOn w:val="Normal"/>
    <w:next w:val="Normal"/>
    <w:link w:val="6"/>
    <w:qFormat/>
    <w:rsid w:val="00073935"/>
    <w:pPr>
      <w:spacing w:before="240" w:after="60"/>
      <w:outlineLvl w:val="5"/>
    </w:pPr>
    <w:rPr>
      <w:rFonts w:ascii="Times New Roman" w:hAnsi="Times New Roman" w:eastAsia="Times New Roman" w:cs="Times New Roman"/>
      <w:b/>
      <w:bCs/>
      <w:color w:val="auto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Верхний колонтитул Знак"/>
    <w:uiPriority w:val="99"/>
    <w:qFormat/>
    <w:rsid w:val="00573245"/>
    <w:rPr>
      <w:rFonts w:ascii="GOST type B" w:hAnsi="GOST type B" w:eastAsia="Batang" w:cs="Arial"/>
      <w:color w:val="333333"/>
      <w:lang w:eastAsia="ko-KR"/>
    </w:rPr>
  </w:style>
  <w:style w:type="character" w:styleId="Style12" w:customStyle="1">
    <w:name w:val="Нижний колонтитул Знак"/>
    <w:uiPriority w:val="99"/>
    <w:qFormat/>
    <w:rsid w:val="00573245"/>
    <w:rPr>
      <w:rFonts w:ascii="GOST type B" w:hAnsi="GOST type B" w:eastAsia="Batang" w:cs="Arial"/>
      <w:color w:val="333333"/>
      <w:lang w:eastAsia="ko-KR"/>
    </w:rPr>
  </w:style>
  <w:style w:type="character" w:styleId="Style13" w:customStyle="1">
    <w:name w:val="Текст Знак"/>
    <w:link w:val="PlainText"/>
    <w:qFormat/>
    <w:rsid w:val="00885db2"/>
    <w:rPr>
      <w:color w:val="000000"/>
      <w:sz w:val="24"/>
      <w:szCs w:val="24"/>
    </w:rPr>
  </w:style>
  <w:style w:type="character" w:styleId="2" w:customStyle="1">
    <w:name w:val="Заголовок 2 Знак"/>
    <w:qFormat/>
    <w:rsid w:val="00073935"/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6" w:customStyle="1">
    <w:name w:val="Заголовок 6 Знак"/>
    <w:qFormat/>
    <w:rsid w:val="00073935"/>
    <w:rPr>
      <w:rFonts w:ascii="Times New Roman" w:hAnsi="Times New Roman" w:eastAsia="Times New Roman"/>
      <w:b/>
      <w:bCs/>
      <w:sz w:val="22"/>
      <w:szCs w:val="22"/>
    </w:rPr>
  </w:style>
  <w:style w:type="character" w:styleId="Style14" w:customStyle="1">
    <w:name w:val="Основной текст Знак"/>
    <w:qFormat/>
    <w:rsid w:val="00073935"/>
    <w:rPr>
      <w:rFonts w:ascii="Times New Roman" w:hAnsi="Times New Roman" w:eastAsia="Times New Roman"/>
      <w:sz w:val="24"/>
      <w:szCs w:val="24"/>
      <w:lang w:eastAsia="ar-SA"/>
    </w:rPr>
  </w:style>
  <w:style w:type="character" w:styleId="Style15" w:customStyle="1">
    <w:name w:val="Основной текст с отступом Знак"/>
    <w:qFormat/>
    <w:rsid w:val="00073935"/>
    <w:rPr>
      <w:rFonts w:ascii="Times New Roman" w:hAnsi="Times New Roman" w:eastAsia="Times New Roman"/>
      <w:sz w:val="24"/>
      <w:szCs w:val="24"/>
    </w:rPr>
  </w:style>
  <w:style w:type="character" w:styleId="1" w:customStyle="1">
    <w:name w:val="Заголовок 1 Знак"/>
    <w:qFormat/>
    <w:rsid w:val="005423d5"/>
    <w:rPr>
      <w:rFonts w:ascii="Cambria" w:hAnsi="Cambria" w:eastAsia="Times New Roman" w:cs="Times New Roman"/>
      <w:b/>
      <w:bCs/>
      <w:color w:val="333333"/>
      <w:kern w:val="2"/>
      <w:sz w:val="32"/>
      <w:szCs w:val="32"/>
      <w:lang w:eastAsia="ko-KR"/>
    </w:rPr>
  </w:style>
  <w:style w:type="character" w:styleId="21" w:customStyle="1">
    <w:name w:val="Основной текст с отступом 2 Знак"/>
    <w:link w:val="BodyTextIndent2"/>
    <w:uiPriority w:val="99"/>
    <w:semiHidden/>
    <w:qFormat/>
    <w:rsid w:val="005423d5"/>
    <w:rPr>
      <w:rFonts w:ascii="GOST type B" w:hAnsi="GOST type B" w:eastAsia="Batang" w:cs="Arial"/>
      <w:color w:val="333333"/>
      <w:sz w:val="22"/>
      <w:szCs w:val="22"/>
      <w:lang w:eastAsia="ko-KR"/>
    </w:rPr>
  </w:style>
  <w:style w:type="character" w:styleId="Hyperlink">
    <w:name w:val="Hyperlink"/>
    <w:uiPriority w:val="99"/>
    <w:unhideWhenUsed/>
    <w:rsid w:val="0015475d"/>
    <w:rPr>
      <w:color w:val="0000FF"/>
      <w:u w:val="single"/>
    </w:rPr>
  </w:style>
  <w:style w:type="character" w:styleId="Style16" w:customStyle="1">
    <w:name w:val="Текст выноски Знак"/>
    <w:link w:val="BalloonText"/>
    <w:uiPriority w:val="99"/>
    <w:semiHidden/>
    <w:qFormat/>
    <w:rsid w:val="006d1e56"/>
    <w:rPr>
      <w:rFonts w:ascii="Segoe UI" w:hAnsi="Segoe UI" w:eastAsia="Batang" w:cs="Segoe UI"/>
      <w:color w:val="333333"/>
      <w:sz w:val="18"/>
      <w:szCs w:val="18"/>
      <w:lang w:eastAsia="ko-KR"/>
    </w:rPr>
  </w:style>
  <w:style w:type="character" w:styleId="Style17" w:customStyle="1">
    <w:name w:val="Другое_"/>
    <w:link w:val="Style24"/>
    <w:qFormat/>
    <w:rsid w:val="000f1a47"/>
    <w:rPr>
      <w:rFonts w:ascii="Times New Roman" w:hAnsi="Times New Roman" w:eastAsia="Times New Roman"/>
      <w:sz w:val="26"/>
      <w:szCs w:val="26"/>
      <w:shd w:fill="FFFFFF" w:val="clear"/>
    </w:rPr>
  </w:style>
  <w:style w:type="character" w:styleId="Style18" w:customStyle="1">
    <w:name w:val="Текст примечания Знак"/>
    <w:basedOn w:val="DefaultParagraphFont"/>
    <w:uiPriority w:val="99"/>
    <w:qFormat/>
    <w:rsid w:val="001a1ebc"/>
    <w:rPr>
      <w:rFonts w:ascii="Times New Roman" w:hAnsi="Times New Roman" w:eastAsia="Times New Roma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962a25"/>
    <w:rPr>
      <w:sz w:val="16"/>
      <w:szCs w:val="16"/>
    </w:rPr>
  </w:style>
  <w:style w:type="character" w:styleId="Style19" w:customStyle="1">
    <w:name w:val="Тема примечания Знак"/>
    <w:basedOn w:val="Style18"/>
    <w:link w:val="annotationsubject"/>
    <w:uiPriority w:val="99"/>
    <w:semiHidden/>
    <w:qFormat/>
    <w:rsid w:val="00962a25"/>
    <w:rPr>
      <w:rFonts w:ascii="GOST type B" w:hAnsi="GOST type B" w:eastAsia="Batang" w:cs="Arial"/>
      <w:b/>
      <w:bCs/>
      <w:color w:val="333333"/>
      <w:lang w:eastAsia="ko-KR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4"/>
    <w:rsid w:val="00073935"/>
    <w:pPr>
      <w:suppressAutoHyphens w:val="true"/>
      <w:spacing w:before="0" w:after="120"/>
    </w:pPr>
    <w:rPr>
      <w:rFonts w:ascii="Times New Roman" w:hAnsi="Times New Roman" w:eastAsia="Times New Roman" w:cs="Times New Roman"/>
      <w:color w:val="auto"/>
      <w:sz w:val="24"/>
      <w:szCs w:val="24"/>
      <w:lang w:eastAsia="ar-SA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user2">
    <w:name w:val="Колонтитулы (user)"/>
    <w:basedOn w:val="Normal"/>
    <w:qFormat/>
    <w:pPr/>
    <w:rPr/>
  </w:style>
  <w:style w:type="paragraph" w:styleId="Style22">
    <w:name w:val="Колонтитулы"/>
    <w:basedOn w:val="Normal"/>
    <w:qFormat/>
    <w:pPr/>
    <w:rPr/>
  </w:style>
  <w:style w:type="paragraph" w:styleId="Header">
    <w:name w:val="header"/>
    <w:basedOn w:val="Normal"/>
    <w:link w:val="Style11"/>
    <w:uiPriority w:val="99"/>
    <w:unhideWhenUsed/>
    <w:rsid w:val="00573245"/>
    <w:pPr>
      <w:tabs>
        <w:tab w:val="clear" w:pos="357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2"/>
    <w:uiPriority w:val="99"/>
    <w:unhideWhenUsed/>
    <w:rsid w:val="00573245"/>
    <w:pPr>
      <w:tabs>
        <w:tab w:val="clear" w:pos="357"/>
        <w:tab w:val="center" w:pos="4677" w:leader="none"/>
        <w:tab w:val="right" w:pos="9355" w:leader="none"/>
      </w:tabs>
    </w:pPr>
    <w:rPr/>
  </w:style>
  <w:style w:type="paragraph" w:styleId="11" w:customStyle="1">
    <w:name w:val="Раздел1"/>
    <w:basedOn w:val="Normal"/>
    <w:next w:val="Normal"/>
    <w:qFormat/>
    <w:rsid w:val="00885db2"/>
    <w:pPr>
      <w:spacing w:lineRule="auto" w:line="360" w:before="0" w:after="120"/>
      <w:jc w:val="center"/>
    </w:pPr>
    <w:rPr>
      <w:rFonts w:ascii="Times New Roman" w:hAnsi="Times New Roman" w:eastAsia="Times New Roman" w:cs="Times New Roman"/>
      <w:b/>
      <w:color w:val="auto"/>
      <w:sz w:val="28"/>
      <w:szCs w:val="20"/>
      <w:lang w:eastAsia="en-US"/>
    </w:rPr>
  </w:style>
  <w:style w:type="paragraph" w:styleId="PlainText">
    <w:name w:val="Plain Text"/>
    <w:basedOn w:val="Normal"/>
    <w:link w:val="Style13"/>
    <w:unhideWhenUsed/>
    <w:qFormat/>
    <w:rsid w:val="00885db2"/>
    <w:pPr/>
    <w:rPr>
      <w:rFonts w:ascii="Calibri" w:hAnsi="Calibri" w:eastAsia="Calibri" w:cs="Times New Roman"/>
      <w:color w:val="000000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85db2"/>
    <w:pPr>
      <w:suppressAutoHyphens w:val="true"/>
      <w:spacing w:before="0" w:after="0"/>
      <w:ind w:start="720"/>
      <w:contextualSpacing/>
    </w:pPr>
    <w:rPr>
      <w:rFonts w:ascii="Times New Roman" w:hAnsi="Times New Roman" w:eastAsia="Times New Roman" w:cs="Times New Roman"/>
      <w:color w:val="auto"/>
      <w:sz w:val="24"/>
      <w:szCs w:val="24"/>
      <w:lang w:eastAsia="ar-SA"/>
    </w:rPr>
  </w:style>
  <w:style w:type="paragraph" w:styleId="BodyTextIndent">
    <w:name w:val="Body Text Indent"/>
    <w:basedOn w:val="Normal"/>
    <w:link w:val="Style15"/>
    <w:rsid w:val="00073935"/>
    <w:pPr>
      <w:spacing w:before="0" w:after="120"/>
      <w:ind w:start="283"/>
    </w:pPr>
    <w:rPr>
      <w:rFonts w:ascii="Times New Roman" w:hAnsi="Times New Roman" w:eastAsia="Times New Roman" w:cs="Times New Roman"/>
      <w:color w:val="auto"/>
      <w:sz w:val="24"/>
      <w:szCs w:val="24"/>
      <w:lang w:eastAsia="ru-RU"/>
    </w:rPr>
  </w:style>
  <w:style w:type="paragraph" w:styleId="Style23" w:customStyle="1">
    <w:name w:val="Текст_бюл"/>
    <w:basedOn w:val="PlainText"/>
    <w:qFormat/>
    <w:rsid w:val="00073935"/>
    <w:pPr>
      <w:numPr>
        <w:ilvl w:val="0"/>
        <w:numId w:val="1"/>
      </w:numPr>
      <w:tabs>
        <w:tab w:val="clear" w:pos="357"/>
        <w:tab w:val="left" w:pos="540" w:leader="none"/>
        <w:tab w:val="left" w:pos="851" w:leader="none"/>
      </w:tabs>
      <w:ind w:hanging="0" w:start="0"/>
      <w:jc w:val="both"/>
    </w:pPr>
    <w:rPr>
      <w:rFonts w:ascii="Times New Roman" w:hAnsi="Times New Roman" w:eastAsia="MS Mincho"/>
      <w:color w:val="auto"/>
      <w:sz w:val="26"/>
      <w:szCs w:val="26"/>
    </w:rPr>
  </w:style>
  <w:style w:type="paragraph" w:styleId="BodyTextIndent2">
    <w:name w:val="Body Text Indent 2"/>
    <w:basedOn w:val="Normal"/>
    <w:link w:val="21"/>
    <w:uiPriority w:val="99"/>
    <w:semiHidden/>
    <w:unhideWhenUsed/>
    <w:qFormat/>
    <w:rsid w:val="005423d5"/>
    <w:pPr>
      <w:spacing w:lineRule="auto" w:line="480" w:before="0" w:after="120"/>
      <w:ind w:start="283"/>
    </w:pPr>
    <w:rPr/>
  </w:style>
  <w:style w:type="paragraph" w:styleId="Standard" w:customStyle="1">
    <w:name w:val="Standard"/>
    <w:qFormat/>
    <w:rsid w:val="005423d5"/>
    <w:pPr>
      <w:widowControl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Lucida Sans Unicode" w:cs="Tahoma"/>
      <w:color w:val="auto"/>
      <w:kern w:val="2"/>
      <w:sz w:val="24"/>
      <w:szCs w:val="24"/>
      <w:lang w:val="ru-RU" w:eastAsia="ru-RU" w:bidi="ar-SA"/>
    </w:rPr>
  </w:style>
  <w:style w:type="paragraph" w:styleId="211" w:customStyle="1">
    <w:name w:val="Основной текст с отступом 21"/>
    <w:basedOn w:val="Normal"/>
    <w:qFormat/>
    <w:rsid w:val="00b5232a"/>
    <w:pPr>
      <w:suppressAutoHyphens w:val="true"/>
      <w:ind w:firstLine="360"/>
      <w:jc w:val="both"/>
    </w:pPr>
    <w:rPr>
      <w:rFonts w:ascii="Times New Roman" w:hAnsi="Times New Roman" w:eastAsia="Times New Roman" w:cs="Times New Roman"/>
      <w:color w:val="auto"/>
      <w:sz w:val="24"/>
      <w:szCs w:val="24"/>
      <w:lang w:val="x-none" w:eastAsia="ar-SA"/>
    </w:rPr>
  </w:style>
  <w:style w:type="paragraph" w:styleId="Iauiue1" w:customStyle="1">
    <w:name w:val="Iau?iue1"/>
    <w:uiPriority w:val="99"/>
    <w:qFormat/>
    <w:rsid w:val="004626e3"/>
    <w:pPr>
      <w:widowControl w:val="false"/>
      <w:suppressAutoHyphens w:val="true"/>
      <w:bidi w:val="0"/>
      <w:spacing w:before="0" w:after="0"/>
      <w:jc w:val="start"/>
    </w:pPr>
    <w:rPr>
      <w:rFonts w:ascii="TimesET" w:hAnsi="TimesET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6d1e56"/>
    <w:pPr/>
    <w:rPr>
      <w:rFonts w:ascii="Segoe UI" w:hAnsi="Segoe UI" w:cs="Segoe UI"/>
      <w:sz w:val="18"/>
      <w:szCs w:val="18"/>
    </w:rPr>
  </w:style>
  <w:style w:type="paragraph" w:styleId="Style24" w:customStyle="1">
    <w:name w:val="Другое"/>
    <w:basedOn w:val="Normal"/>
    <w:link w:val="Style17"/>
    <w:qFormat/>
    <w:rsid w:val="000f1a47"/>
    <w:pPr>
      <w:widowControl w:val="false"/>
      <w:shd w:val="clear" w:color="auto" w:fill="FFFFFF"/>
    </w:pPr>
    <w:rPr>
      <w:rFonts w:ascii="Times New Roman" w:hAnsi="Times New Roman" w:eastAsia="Times New Roman" w:cs="Times New Roman"/>
      <w:color w:val="auto"/>
      <w:sz w:val="26"/>
      <w:szCs w:val="26"/>
      <w:lang w:eastAsia="ru-RU"/>
    </w:rPr>
  </w:style>
  <w:style w:type="paragraph" w:styleId="CommentText">
    <w:name w:val="annotation text"/>
    <w:basedOn w:val="Normal"/>
    <w:link w:val="Style18"/>
    <w:uiPriority w:val="99"/>
    <w:unhideWhenUsed/>
    <w:rsid w:val="001a1ebc"/>
    <w:pPr/>
    <w:rPr>
      <w:rFonts w:ascii="Times New Roman" w:hAnsi="Times New Roman" w:eastAsia="Times New Roman" w:cs="Times New Roman"/>
      <w:color w:val="auto"/>
      <w:sz w:val="20"/>
      <w:szCs w:val="20"/>
      <w:lang w:eastAsia="ru-RU"/>
    </w:rPr>
  </w:style>
  <w:style w:type="paragraph" w:styleId="annotationsubject">
    <w:name w:val="annotation subject"/>
    <w:basedOn w:val="CommentText"/>
    <w:next w:val="CommentText"/>
    <w:link w:val="Style19"/>
    <w:uiPriority w:val="99"/>
    <w:semiHidden/>
    <w:unhideWhenUsed/>
    <w:qFormat/>
    <w:rsid w:val="00962a25"/>
    <w:pPr/>
    <w:rPr>
      <w:rFonts w:ascii="GOST type B" w:hAnsi="GOST type B" w:eastAsia="Batang" w:cs="Arial"/>
      <w:b/>
      <w:bCs/>
      <w:color w:val="333333"/>
      <w:lang w:eastAsia="ko-KR"/>
    </w:rPr>
  </w:style>
  <w:style w:type="paragraph" w:styleId="user3">
    <w:name w:val="Содержимое врезки (user)"/>
    <w:basedOn w:val="Normal"/>
    <w:qFormat/>
    <w:pPr/>
    <w:rPr/>
  </w:style>
  <w:style w:type="paragraph" w:styleId="Style25">
    <w:name w:val="Содержимое врезки"/>
    <w:basedOn w:val="Normal"/>
    <w:qFormat/>
    <w:pPr/>
    <w:rPr/>
  </w:style>
  <w:style w:type="numbering" w:styleId="user4" w:default="1">
    <w:name w:val="Без списка (user)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2"/>
    <w:uiPriority w:val="59"/>
    <w:rsid w:val="001a1ebc"/>
    <w:rPr>
      <w:sz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zakupki.rostelecom.ru/info_docs/tz/building/" TargetMode="External"/><Relationship Id="rId3" Type="http://schemas.openxmlformats.org/officeDocument/2006/relationships/hyperlink" Target="https://zakupki.rostelecom.ru/info_docs/tz/documents/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2634B-B11E-4D72-ADEA-4EFCB0AA0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Application>LibreOffice/25.8.0.4$Linux_X86_64 LibreOffice_project/48f00303701489684e67c38c28aff00cd5929e67</Application>
  <AppVersion>15.0000</AppVersion>
  <Pages>11</Pages>
  <Words>3046</Words>
  <Characters>22265</Characters>
  <CharactersWithSpaces>24999</CharactersWithSpaces>
  <Paragraphs>187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2024-06-16T16:17:00Z</dcterms:created>
  <dc:creator>Viktor.Goncharov@south.rt.ru</dc:creator>
  <dc:description/>
  <dc:language>ru-RU</dc:language>
  <cp:lastModifiedBy/>
  <cp:lastPrinted>2019-05-23T13:27:00Z</cp:lastPrinted>
  <dcterms:modified xsi:type="dcterms:W3CDTF">2026-03-23T10:25:26Z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